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24915C">
      <w:pPr>
        <w:spacing w:line="540" w:lineRule="exact"/>
        <w:ind w:firstLine="640" w:firstLineChars="200"/>
        <w:rPr>
          <w:rFonts w:ascii="仿宋_GB2312" w:hAnsi="宋体" w:eastAsia="仿宋_GB2312"/>
          <w:sz w:val="32"/>
          <w:szCs w:val="32"/>
        </w:rPr>
      </w:pPr>
    </w:p>
    <w:p w14:paraId="2FAACBFD">
      <w:pPr>
        <w:spacing w:line="560" w:lineRule="exact"/>
        <w:ind w:firstLine="640" w:firstLineChars="200"/>
        <w:rPr>
          <w:rFonts w:ascii="仿宋_GB2312" w:hAnsi="宋体" w:eastAsia="仿宋_GB2312"/>
          <w:sz w:val="32"/>
          <w:szCs w:val="32"/>
        </w:rPr>
      </w:pPr>
      <w:r>
        <w:rPr>
          <w:rFonts w:ascii="仿宋_GB2312" w:hAnsi="宋体" w:eastAsia="仿宋_GB2312"/>
          <w:sz w:val="32"/>
          <w:szCs w:val="32"/>
        </w:rPr>
        <w:t xml:space="preserve">                     </w:t>
      </w:r>
    </w:p>
    <w:p w14:paraId="4BDBE578">
      <w:pPr>
        <w:spacing w:line="560" w:lineRule="exact"/>
        <w:ind w:firstLine="640" w:firstLineChars="200"/>
        <w:rPr>
          <w:rFonts w:ascii="华文新魏" w:hAnsi="宋体" w:eastAsia="华文新魏"/>
          <w:sz w:val="52"/>
          <w:szCs w:val="52"/>
        </w:rPr>
      </w:pPr>
      <w:r>
        <w:rPr>
          <w:rFonts w:ascii="仿宋_GB2312" w:hAnsi="宋体" w:eastAsia="仿宋_GB2312"/>
          <w:sz w:val="32"/>
          <w:szCs w:val="32"/>
        </w:rPr>
        <w:t xml:space="preserve">         </w:t>
      </w:r>
    </w:p>
    <w:p w14:paraId="2821E2F2">
      <w:pPr>
        <w:jc w:val="center"/>
        <w:rPr>
          <w:rFonts w:ascii="宋体"/>
          <w:b/>
          <w:sz w:val="72"/>
          <w:szCs w:val="72"/>
        </w:rPr>
      </w:pPr>
    </w:p>
    <w:p w14:paraId="3255DDF1">
      <w:pPr>
        <w:jc w:val="center"/>
        <w:rPr>
          <w:rFonts w:hint="default" w:ascii="宋体" w:eastAsia="宋体"/>
          <w:b/>
          <w:sz w:val="72"/>
          <w:szCs w:val="72"/>
          <w:lang w:val="en-US" w:eastAsia="zh-CN"/>
        </w:rPr>
      </w:pPr>
      <w:r>
        <w:rPr>
          <w:rFonts w:hint="eastAsia" w:ascii="宋体"/>
          <w:b/>
          <w:sz w:val="72"/>
          <w:szCs w:val="72"/>
          <w:lang w:val="en-US" w:eastAsia="zh-CN"/>
        </w:rPr>
        <w:t>XX学院</w:t>
      </w:r>
    </w:p>
    <w:p w14:paraId="15D5C7AC">
      <w:pPr>
        <w:jc w:val="center"/>
        <w:rPr>
          <w:rFonts w:ascii="宋体"/>
          <w:b/>
          <w:sz w:val="72"/>
          <w:szCs w:val="72"/>
        </w:rPr>
      </w:pPr>
    </w:p>
    <w:p w14:paraId="7443051A">
      <w:pPr>
        <w:jc w:val="center"/>
        <w:rPr>
          <w:rFonts w:ascii="宋体"/>
          <w:b/>
          <w:sz w:val="72"/>
          <w:szCs w:val="72"/>
        </w:rPr>
      </w:pPr>
      <w:r>
        <w:rPr>
          <w:rFonts w:hint="eastAsia" w:ascii="宋体" w:hAnsi="宋体"/>
          <w:b/>
          <w:sz w:val="72"/>
          <w:szCs w:val="72"/>
        </w:rPr>
        <w:t>专项资金项目申报表</w:t>
      </w:r>
    </w:p>
    <w:p w14:paraId="7EDF10A6">
      <w:pPr>
        <w:ind w:firstLine="1446" w:firstLineChars="200"/>
        <w:rPr>
          <w:rFonts w:ascii="楷体_GB2312" w:hAnsi="宋体" w:eastAsia="楷体_GB2312"/>
          <w:b/>
          <w:sz w:val="72"/>
          <w:szCs w:val="72"/>
        </w:rPr>
      </w:pPr>
    </w:p>
    <w:p w14:paraId="622EDFF4">
      <w:pPr>
        <w:rPr>
          <w:rFonts w:ascii="宋体"/>
          <w:sz w:val="28"/>
          <w:szCs w:val="28"/>
        </w:rPr>
      </w:pPr>
    </w:p>
    <w:p w14:paraId="39DE5F8C">
      <w:pPr>
        <w:ind w:firstLine="560" w:firstLineChars="200"/>
        <w:rPr>
          <w:rFonts w:ascii="宋体"/>
          <w:sz w:val="28"/>
          <w:szCs w:val="28"/>
        </w:rPr>
      </w:pPr>
    </w:p>
    <w:p w14:paraId="6AF871E6">
      <w:pPr>
        <w:rPr>
          <w:rFonts w:ascii="宋体"/>
          <w:sz w:val="28"/>
          <w:szCs w:val="28"/>
        </w:rPr>
      </w:pPr>
    </w:p>
    <w:p w14:paraId="7743E284">
      <w:pPr>
        <w:rPr>
          <w:rFonts w:ascii="宋体"/>
          <w:sz w:val="28"/>
          <w:szCs w:val="28"/>
        </w:rPr>
      </w:pPr>
    </w:p>
    <w:p w14:paraId="7A41AB06">
      <w:pPr>
        <w:rPr>
          <w:rFonts w:ascii="宋体"/>
          <w:sz w:val="28"/>
          <w:szCs w:val="28"/>
        </w:rPr>
      </w:pPr>
    </w:p>
    <w:p w14:paraId="2754713D">
      <w:pPr>
        <w:ind w:firstLine="1800" w:firstLineChars="600"/>
        <w:rPr>
          <w:rFonts w:ascii="宋体"/>
          <w:sz w:val="30"/>
          <w:szCs w:val="30"/>
          <w:u w:val="single"/>
        </w:rPr>
      </w:pPr>
      <w:r>
        <w:rPr>
          <w:rFonts w:hint="eastAsia" w:ascii="宋体" w:hAnsi="宋体"/>
          <w:sz w:val="30"/>
          <w:szCs w:val="30"/>
        </w:rPr>
        <w:t>项目名称：</w:t>
      </w:r>
      <w:r>
        <w:rPr>
          <w:rFonts w:hint="eastAsia" w:ascii="宋体" w:hAnsi="宋体"/>
          <w:sz w:val="30"/>
          <w:szCs w:val="30"/>
          <w:u w:val="single"/>
        </w:rPr>
        <w:t>智慧物流实验室（智慧物流决策仿真系统）</w:t>
      </w:r>
      <w:r>
        <w:rPr>
          <w:rFonts w:ascii="宋体" w:hAnsi="宋体"/>
          <w:sz w:val="30"/>
          <w:szCs w:val="30"/>
          <w:u w:val="single"/>
        </w:rPr>
        <w:t xml:space="preserve">                    </w:t>
      </w:r>
    </w:p>
    <w:p w14:paraId="5903989F">
      <w:pPr>
        <w:ind w:firstLine="1800" w:firstLineChars="600"/>
        <w:rPr>
          <w:rFonts w:ascii="宋体" w:cs="宋体"/>
          <w:sz w:val="30"/>
          <w:szCs w:val="30"/>
          <w:highlight w:val="none"/>
          <w:u w:val="single"/>
        </w:rPr>
      </w:pPr>
      <w:r>
        <w:rPr>
          <w:rFonts w:hint="eastAsia" w:ascii="宋体" w:hAnsi="宋体"/>
          <w:sz w:val="30"/>
          <w:szCs w:val="30"/>
          <w:highlight w:val="none"/>
        </w:rPr>
        <w:t>申报单位</w:t>
      </w:r>
      <w:r>
        <w:rPr>
          <w:rFonts w:hint="eastAsia" w:ascii="宋体" w:hAnsi="宋体" w:cs="宋体"/>
          <w:sz w:val="30"/>
          <w:szCs w:val="30"/>
          <w:highlight w:val="none"/>
        </w:rPr>
        <w:t>（公章）：</w:t>
      </w:r>
      <w:r>
        <w:rPr>
          <w:rFonts w:ascii="宋体" w:hAnsi="宋体" w:cs="宋体"/>
          <w:sz w:val="30"/>
          <w:szCs w:val="30"/>
          <w:highlight w:val="none"/>
          <w:u w:val="single"/>
        </w:rPr>
        <w:t xml:space="preserve"> </w:t>
      </w:r>
      <w:r>
        <w:rPr>
          <w:rFonts w:hint="eastAsia" w:ascii="宋体" w:hAnsi="宋体" w:cs="宋体"/>
          <w:sz w:val="30"/>
          <w:szCs w:val="30"/>
          <w:highlight w:val="none"/>
          <w:u w:val="single"/>
          <w:lang w:val="en-US" w:eastAsia="zh-CN"/>
        </w:rPr>
        <w:t>XX</w:t>
      </w:r>
      <w:r>
        <w:rPr>
          <w:rFonts w:hint="eastAsia" w:ascii="宋体" w:hAnsi="宋体" w:cs="宋体"/>
          <w:sz w:val="30"/>
          <w:szCs w:val="30"/>
          <w:highlight w:val="none"/>
          <w:u w:val="single"/>
        </w:rPr>
        <w:t>学院</w:t>
      </w:r>
      <w:r>
        <w:rPr>
          <w:rFonts w:hint="eastAsia" w:ascii="宋体" w:hAnsi="宋体" w:cs="宋体"/>
          <w:sz w:val="30"/>
          <w:szCs w:val="30"/>
          <w:highlight w:val="none"/>
          <w:u w:val="single"/>
          <w:lang w:val="en-US" w:eastAsia="zh-CN"/>
        </w:rPr>
        <w:t xml:space="preserve">     </w:t>
      </w:r>
      <w:r>
        <w:rPr>
          <w:rFonts w:ascii="宋体" w:hAnsi="宋体" w:cs="宋体"/>
          <w:sz w:val="30"/>
          <w:szCs w:val="30"/>
          <w:highlight w:val="none"/>
          <w:u w:val="single"/>
        </w:rPr>
        <w:t xml:space="preserve">    </w:t>
      </w:r>
    </w:p>
    <w:p w14:paraId="0FC8227B">
      <w:pPr>
        <w:ind w:firstLine="1800" w:firstLineChars="600"/>
        <w:rPr>
          <w:rFonts w:ascii="宋体"/>
          <w:sz w:val="30"/>
          <w:szCs w:val="30"/>
          <w:highlight w:val="none"/>
          <w:u w:val="single"/>
        </w:rPr>
      </w:pPr>
      <w:r>
        <w:rPr>
          <w:rFonts w:hint="eastAsia" w:ascii="宋体" w:hAnsi="宋体"/>
          <w:sz w:val="30"/>
          <w:szCs w:val="30"/>
          <w:highlight w:val="none"/>
        </w:rPr>
        <w:t>申报日期：</w:t>
      </w:r>
      <w:r>
        <w:rPr>
          <w:rFonts w:ascii="宋体" w:hAnsi="宋体"/>
          <w:sz w:val="30"/>
          <w:szCs w:val="30"/>
          <w:highlight w:val="none"/>
        </w:rPr>
        <w:t xml:space="preserve">  </w:t>
      </w:r>
      <w:r>
        <w:rPr>
          <w:rFonts w:ascii="宋体" w:hAnsi="宋体" w:cs="宋体"/>
          <w:sz w:val="30"/>
          <w:szCs w:val="30"/>
          <w:highlight w:val="none"/>
          <w:u w:val="single"/>
        </w:rPr>
        <w:t xml:space="preserve">  </w:t>
      </w:r>
      <w:r>
        <w:rPr>
          <w:rFonts w:ascii="宋体" w:hAnsi="宋体"/>
          <w:sz w:val="30"/>
          <w:szCs w:val="30"/>
          <w:highlight w:val="none"/>
          <w:u w:val="single"/>
        </w:rPr>
        <w:t xml:space="preserve"> </w:t>
      </w:r>
      <w:r>
        <w:rPr>
          <w:rFonts w:ascii="宋体" w:hAnsi="宋体" w:cs="宋体"/>
          <w:sz w:val="30"/>
          <w:szCs w:val="30"/>
          <w:highlight w:val="none"/>
          <w:u w:val="single"/>
        </w:rPr>
        <w:t>2022-</w:t>
      </w:r>
      <w:r>
        <w:rPr>
          <w:rFonts w:hint="eastAsia" w:ascii="宋体" w:hAnsi="宋体" w:cs="宋体"/>
          <w:sz w:val="30"/>
          <w:szCs w:val="30"/>
          <w:highlight w:val="none"/>
          <w:u w:val="single"/>
          <w:lang w:val="en-US" w:eastAsia="zh-CN"/>
        </w:rPr>
        <w:t>09-22</w:t>
      </w:r>
      <w:r>
        <w:rPr>
          <w:rFonts w:ascii="宋体" w:hAnsi="宋体"/>
          <w:sz w:val="30"/>
          <w:szCs w:val="30"/>
          <w:highlight w:val="none"/>
          <w:u w:val="single"/>
        </w:rPr>
        <w:t xml:space="preserve">               </w:t>
      </w:r>
    </w:p>
    <w:p w14:paraId="3D1D49AC">
      <w:pPr>
        <w:ind w:firstLine="1800" w:firstLineChars="600"/>
        <w:rPr>
          <w:rFonts w:ascii="宋体"/>
          <w:sz w:val="30"/>
          <w:szCs w:val="30"/>
          <w:highlight w:val="none"/>
          <w:u w:val="single"/>
        </w:rPr>
      </w:pPr>
      <w:r>
        <w:rPr>
          <w:rFonts w:hint="eastAsia" w:ascii="宋体" w:hAnsi="宋体"/>
          <w:sz w:val="30"/>
          <w:szCs w:val="30"/>
          <w:highlight w:val="none"/>
        </w:rPr>
        <w:t>项目负责人：</w:t>
      </w:r>
      <w:r>
        <w:rPr>
          <w:rFonts w:ascii="宋体" w:hAnsi="宋体"/>
          <w:sz w:val="30"/>
          <w:szCs w:val="30"/>
          <w:highlight w:val="none"/>
          <w:u w:val="single"/>
        </w:rPr>
        <w:t xml:space="preserve">                       </w:t>
      </w:r>
    </w:p>
    <w:p w14:paraId="19AC3C20">
      <w:pPr>
        <w:ind w:firstLine="560" w:firstLineChars="200"/>
        <w:rPr>
          <w:rFonts w:ascii="宋体" w:hAnsi="宋体"/>
          <w:sz w:val="30"/>
          <w:szCs w:val="30"/>
          <w:highlight w:val="none"/>
          <w:u w:val="single"/>
        </w:rPr>
        <w:sectPr>
          <w:headerReference r:id="rId3" w:type="default"/>
          <w:pgSz w:w="11906" w:h="16838"/>
          <w:pgMar w:top="2098" w:right="1474" w:bottom="1985" w:left="1588" w:header="743" w:footer="1021" w:gutter="0"/>
          <w:cols w:space="425" w:num="1"/>
          <w:docGrid w:type="lines" w:linePitch="312" w:charSpace="0"/>
        </w:sectPr>
      </w:pPr>
      <w:r>
        <w:rPr>
          <w:rFonts w:ascii="宋体" w:hAnsi="宋体"/>
          <w:sz w:val="28"/>
          <w:szCs w:val="28"/>
          <w:highlight w:val="none"/>
        </w:rPr>
        <w:t xml:space="preserve">         </w:t>
      </w:r>
      <w:r>
        <w:rPr>
          <w:rFonts w:hint="eastAsia" w:ascii="宋体" w:hAnsi="宋体"/>
          <w:sz w:val="30"/>
          <w:szCs w:val="30"/>
          <w:highlight w:val="none"/>
        </w:rPr>
        <w:t>联系电话：</w:t>
      </w:r>
      <w:r>
        <w:rPr>
          <w:rFonts w:ascii="宋体" w:hAnsi="宋体"/>
          <w:sz w:val="30"/>
          <w:szCs w:val="30"/>
          <w:highlight w:val="none"/>
        </w:rPr>
        <w:t xml:space="preserve"> </w:t>
      </w:r>
      <w:r>
        <w:rPr>
          <w:rFonts w:ascii="宋体" w:hAnsi="宋体"/>
          <w:sz w:val="30"/>
          <w:szCs w:val="30"/>
          <w:highlight w:val="none"/>
          <w:u w:val="single"/>
        </w:rPr>
        <w:t xml:space="preserve">                  </w:t>
      </w:r>
    </w:p>
    <w:p w14:paraId="56C07585">
      <w:pPr>
        <w:jc w:val="center"/>
        <w:rPr>
          <w:rFonts w:ascii="宋体"/>
          <w:b/>
          <w:sz w:val="36"/>
          <w:szCs w:val="36"/>
        </w:rPr>
      </w:pPr>
    </w:p>
    <w:p w14:paraId="30D56C2B">
      <w:pPr>
        <w:jc w:val="center"/>
        <w:rPr>
          <w:rFonts w:ascii="宋体"/>
          <w:b/>
          <w:sz w:val="36"/>
          <w:szCs w:val="36"/>
        </w:rPr>
      </w:pPr>
      <w:r>
        <w:rPr>
          <w:rFonts w:hint="eastAsia" w:ascii="宋体" w:hAnsi="宋体"/>
          <w:b/>
          <w:sz w:val="36"/>
          <w:szCs w:val="36"/>
        </w:rPr>
        <w:t>填</w:t>
      </w:r>
      <w:r>
        <w:rPr>
          <w:rFonts w:ascii="宋体" w:hAnsi="宋体"/>
          <w:b/>
          <w:sz w:val="36"/>
          <w:szCs w:val="36"/>
        </w:rPr>
        <w:t xml:space="preserve"> </w:t>
      </w:r>
      <w:r>
        <w:rPr>
          <w:rFonts w:hint="eastAsia" w:ascii="宋体" w:hAnsi="宋体"/>
          <w:b/>
          <w:sz w:val="36"/>
          <w:szCs w:val="36"/>
        </w:rPr>
        <w:t>表</w:t>
      </w:r>
      <w:r>
        <w:rPr>
          <w:rFonts w:ascii="宋体" w:hAnsi="宋体"/>
          <w:b/>
          <w:sz w:val="36"/>
          <w:szCs w:val="36"/>
        </w:rPr>
        <w:t xml:space="preserve"> </w:t>
      </w:r>
      <w:r>
        <w:rPr>
          <w:rFonts w:hint="eastAsia" w:ascii="宋体" w:hAnsi="宋体"/>
          <w:b/>
          <w:sz w:val="36"/>
          <w:szCs w:val="36"/>
        </w:rPr>
        <w:t>说</w:t>
      </w:r>
      <w:r>
        <w:rPr>
          <w:rFonts w:ascii="宋体" w:hAnsi="宋体"/>
          <w:b/>
          <w:sz w:val="36"/>
          <w:szCs w:val="36"/>
        </w:rPr>
        <w:t xml:space="preserve"> </w:t>
      </w:r>
      <w:r>
        <w:rPr>
          <w:rFonts w:hint="eastAsia" w:ascii="宋体" w:hAnsi="宋体"/>
          <w:b/>
          <w:sz w:val="36"/>
          <w:szCs w:val="36"/>
        </w:rPr>
        <w:t>明</w:t>
      </w:r>
    </w:p>
    <w:p w14:paraId="6A93A662">
      <w:pPr>
        <w:numPr>
          <w:ilvl w:val="0"/>
          <w:numId w:val="2"/>
        </w:numPr>
        <w:spacing w:line="360" w:lineRule="auto"/>
        <w:rPr>
          <w:rFonts w:ascii="宋体"/>
          <w:sz w:val="28"/>
          <w:szCs w:val="28"/>
        </w:rPr>
      </w:pPr>
      <w:r>
        <w:rPr>
          <w:rFonts w:hint="eastAsia" w:ascii="宋体" w:hAnsi="宋体"/>
          <w:sz w:val="28"/>
          <w:szCs w:val="28"/>
        </w:rPr>
        <w:t>本表一式三份，经审核后，财务处对各单位所申报的专项资金项目存档；各教学单位需要的教学科研仪器设备购置项目向教务处或科学技术处申报并存档；各单位需要的办公设备与家具购置项目向国有资产管理处申报并存档；各单位需要进行的维修改造项目向后勤管理处申报并存档，学校的信息化建设、图书期刊、校园安全等项目分别由现代教育技术中心、图书馆和安全工作处等单位申报并存档；其他项目由相关职能单位申报并存档。</w:t>
      </w:r>
    </w:p>
    <w:p w14:paraId="730EF31A">
      <w:pPr>
        <w:numPr>
          <w:ilvl w:val="0"/>
          <w:numId w:val="2"/>
        </w:numPr>
        <w:spacing w:line="360" w:lineRule="auto"/>
        <w:rPr>
          <w:rFonts w:ascii="宋体"/>
          <w:sz w:val="28"/>
          <w:szCs w:val="28"/>
        </w:rPr>
      </w:pPr>
      <w:r>
        <w:rPr>
          <w:rFonts w:hint="eastAsia" w:ascii="宋体" w:hAnsi="宋体"/>
          <w:sz w:val="28"/>
          <w:szCs w:val="28"/>
        </w:rPr>
        <w:t>各单位所申报的专项资金项目事先要组织不少于</w:t>
      </w:r>
      <w:r>
        <w:rPr>
          <w:rFonts w:ascii="宋体" w:hAnsi="宋体"/>
          <w:sz w:val="28"/>
          <w:szCs w:val="28"/>
        </w:rPr>
        <w:t>5</w:t>
      </w:r>
      <w:r>
        <w:rPr>
          <w:rFonts w:hint="eastAsia" w:ascii="宋体" w:hAnsi="宋体"/>
          <w:sz w:val="28"/>
          <w:szCs w:val="28"/>
        </w:rPr>
        <w:t>人的同行专家进行论证并在申报表中签字。</w:t>
      </w:r>
    </w:p>
    <w:p w14:paraId="6667C7D5">
      <w:pPr>
        <w:numPr>
          <w:ilvl w:val="0"/>
          <w:numId w:val="2"/>
        </w:numPr>
        <w:rPr>
          <w:rFonts w:ascii="宋体"/>
          <w:sz w:val="28"/>
          <w:szCs w:val="28"/>
        </w:rPr>
      </w:pPr>
      <w:r>
        <w:rPr>
          <w:rFonts w:hint="eastAsia" w:ascii="宋体" w:hAnsi="宋体"/>
          <w:sz w:val="28"/>
          <w:szCs w:val="28"/>
        </w:rPr>
        <w:t>各单位申报项目时要按照财政预算申报和采购的有关规定、标准及学校主管单位的具体要求，详细、准确填写项目申报书及有关材料，说明申报项目的具体需求、主要内容和资金测算过程等。</w:t>
      </w:r>
    </w:p>
    <w:p w14:paraId="7B485A46">
      <w:pPr>
        <w:ind w:left="280" w:hanging="280" w:hangingChars="100"/>
        <w:rPr>
          <w:rFonts w:ascii="宋体"/>
          <w:sz w:val="28"/>
          <w:szCs w:val="28"/>
        </w:rPr>
      </w:pPr>
      <w:r>
        <w:rPr>
          <w:rFonts w:ascii="宋体" w:hAnsi="宋体"/>
          <w:sz w:val="28"/>
          <w:szCs w:val="28"/>
        </w:rPr>
        <w:t>4.</w:t>
      </w:r>
      <w:r>
        <w:rPr>
          <w:rFonts w:hint="eastAsia" w:ascii="宋体" w:hAnsi="宋体"/>
          <w:sz w:val="28"/>
          <w:szCs w:val="28"/>
        </w:rPr>
        <w:t>该表中的所填内容与数据必须真实准确。如表格空间不够，可自行增添页面。</w:t>
      </w:r>
    </w:p>
    <w:p w14:paraId="0290D563">
      <w:pPr>
        <w:ind w:left="280" w:hanging="280" w:hangingChars="100"/>
        <w:rPr>
          <w:rFonts w:ascii="宋体"/>
          <w:sz w:val="28"/>
          <w:szCs w:val="28"/>
        </w:rPr>
      </w:pPr>
    </w:p>
    <w:p w14:paraId="019E67C2">
      <w:pPr>
        <w:ind w:left="280" w:hanging="280" w:hangingChars="100"/>
        <w:rPr>
          <w:rFonts w:ascii="宋体"/>
          <w:sz w:val="28"/>
          <w:szCs w:val="28"/>
        </w:rPr>
      </w:pPr>
    </w:p>
    <w:p w14:paraId="60935231">
      <w:pPr>
        <w:ind w:left="280" w:hanging="280" w:hangingChars="100"/>
        <w:rPr>
          <w:rFonts w:ascii="宋体"/>
          <w:sz w:val="28"/>
          <w:szCs w:val="28"/>
        </w:rPr>
      </w:pPr>
    </w:p>
    <w:p w14:paraId="080BD3C3">
      <w:pPr>
        <w:ind w:firstLine="560" w:firstLineChars="200"/>
        <w:rPr>
          <w:rFonts w:ascii="宋体"/>
          <w:sz w:val="28"/>
          <w:szCs w:val="28"/>
        </w:rPr>
      </w:pPr>
    </w:p>
    <w:p w14:paraId="4F335868">
      <w:pPr>
        <w:numPr>
          <w:ilvl w:val="0"/>
          <w:numId w:val="3"/>
        </w:numPr>
        <w:ind w:left="550" w:firstLine="0"/>
        <w:jc w:val="left"/>
        <w:rPr>
          <w:rFonts w:ascii="宋体" w:cs="宋体"/>
          <w:b/>
          <w:bCs/>
          <w:kern w:val="0"/>
          <w:sz w:val="18"/>
          <w:szCs w:val="18"/>
        </w:rPr>
      </w:pPr>
      <w:r>
        <w:rPr>
          <w:rFonts w:hint="eastAsia" w:ascii="宋体" w:hAnsi="宋体" w:cs="宋体"/>
          <w:b/>
          <w:bCs/>
          <w:kern w:val="0"/>
          <w:sz w:val="28"/>
          <w:szCs w:val="28"/>
        </w:rPr>
        <w:t>专项项目立项依据、主要内容及资金测算</w:t>
      </w:r>
    </w:p>
    <w:p w14:paraId="5A73C179">
      <w:pPr>
        <w:rPr>
          <w:rFonts w:ascii="宋体" w:cs="宋体"/>
          <w:b/>
          <w:bCs/>
          <w:kern w:val="0"/>
          <w:sz w:val="18"/>
          <w:szCs w:val="18"/>
        </w:rPr>
      </w:pPr>
    </w:p>
    <w:tbl>
      <w:tblPr>
        <w:tblStyle w:val="13"/>
        <w:tblW w:w="8416" w:type="dxa"/>
        <w:tblInd w:w="93" w:type="dxa"/>
        <w:tblLayout w:type="fixed"/>
        <w:tblCellMar>
          <w:top w:w="0" w:type="dxa"/>
          <w:left w:w="108" w:type="dxa"/>
          <w:bottom w:w="0" w:type="dxa"/>
          <w:right w:w="108" w:type="dxa"/>
        </w:tblCellMar>
      </w:tblPr>
      <w:tblGrid>
        <w:gridCol w:w="2277"/>
        <w:gridCol w:w="2586"/>
        <w:gridCol w:w="1796"/>
        <w:gridCol w:w="1757"/>
      </w:tblGrid>
      <w:tr w14:paraId="56652989">
        <w:tblPrEx>
          <w:tblCellMar>
            <w:top w:w="0" w:type="dxa"/>
            <w:left w:w="108" w:type="dxa"/>
            <w:bottom w:w="0" w:type="dxa"/>
            <w:right w:w="108" w:type="dxa"/>
          </w:tblCellMar>
        </w:tblPrEx>
        <w:trPr>
          <w:trHeight w:val="415" w:hRule="atLeast"/>
        </w:trPr>
        <w:tc>
          <w:tcPr>
            <w:tcW w:w="2277" w:type="dxa"/>
            <w:tcBorders>
              <w:top w:val="single" w:color="auto" w:sz="4" w:space="0"/>
              <w:left w:val="single" w:color="auto" w:sz="4" w:space="0"/>
              <w:bottom w:val="single" w:color="auto" w:sz="4" w:space="0"/>
              <w:right w:val="single" w:color="auto" w:sz="4" w:space="0"/>
            </w:tcBorders>
            <w:noWrap/>
            <w:vAlign w:val="center"/>
          </w:tcPr>
          <w:p w14:paraId="070FEA43">
            <w:pPr>
              <w:widowControl/>
              <w:jc w:val="center"/>
              <w:rPr>
                <w:rFonts w:ascii="宋体" w:cs="宋体"/>
                <w:kern w:val="0"/>
                <w:szCs w:val="21"/>
              </w:rPr>
            </w:pPr>
            <w:r>
              <w:rPr>
                <w:rFonts w:hint="eastAsia" w:ascii="宋体" w:hAnsi="宋体" w:cs="宋体"/>
                <w:kern w:val="0"/>
                <w:szCs w:val="21"/>
              </w:rPr>
              <w:t>项目名称</w:t>
            </w:r>
          </w:p>
          <w:p w14:paraId="606DBA6E">
            <w:pPr>
              <w:widowControl/>
              <w:jc w:val="center"/>
              <w:rPr>
                <w:rFonts w:ascii="宋体" w:cs="宋体"/>
                <w:kern w:val="0"/>
                <w:szCs w:val="21"/>
              </w:rPr>
            </w:pPr>
            <w:r>
              <w:rPr>
                <w:rFonts w:hint="eastAsia" w:ascii="宋体" w:hAnsi="宋体" w:cs="宋体"/>
                <w:kern w:val="0"/>
                <w:szCs w:val="21"/>
              </w:rPr>
              <w:t>（少于</w:t>
            </w:r>
            <w:r>
              <w:rPr>
                <w:rFonts w:ascii="宋体" w:hAnsi="宋体" w:cs="宋体"/>
                <w:kern w:val="0"/>
                <w:szCs w:val="21"/>
              </w:rPr>
              <w:t>15</w:t>
            </w:r>
            <w:r>
              <w:rPr>
                <w:rFonts w:hint="eastAsia" w:ascii="宋体" w:hAnsi="宋体" w:cs="宋体"/>
                <w:kern w:val="0"/>
                <w:szCs w:val="21"/>
              </w:rPr>
              <w:t>字）</w:t>
            </w:r>
          </w:p>
        </w:tc>
        <w:tc>
          <w:tcPr>
            <w:tcW w:w="6139" w:type="dxa"/>
            <w:gridSpan w:val="3"/>
            <w:tcBorders>
              <w:top w:val="single" w:color="auto" w:sz="4" w:space="0"/>
              <w:left w:val="nil"/>
              <w:bottom w:val="single" w:color="auto" w:sz="4" w:space="0"/>
              <w:right w:val="single" w:color="000000" w:sz="4" w:space="0"/>
            </w:tcBorders>
            <w:noWrap/>
            <w:vAlign w:val="center"/>
          </w:tcPr>
          <w:p w14:paraId="33362BCA">
            <w:pPr>
              <w:jc w:val="center"/>
              <w:rPr>
                <w:rFonts w:ascii="宋体"/>
                <w:sz w:val="24"/>
              </w:rPr>
            </w:pPr>
            <w:r>
              <w:rPr>
                <w:rFonts w:hint="eastAsia" w:ascii="宋体" w:hAnsi="宋体" w:cs="宋体"/>
                <w:kern w:val="0"/>
                <w:szCs w:val="21"/>
              </w:rPr>
              <w:t>智慧物流实验室（智慧物流决策仿真系统）</w:t>
            </w:r>
          </w:p>
        </w:tc>
      </w:tr>
      <w:tr w14:paraId="13076B7A">
        <w:tblPrEx>
          <w:tblCellMar>
            <w:top w:w="0" w:type="dxa"/>
            <w:left w:w="108" w:type="dxa"/>
            <w:bottom w:w="0" w:type="dxa"/>
            <w:right w:w="108" w:type="dxa"/>
          </w:tblCellMar>
        </w:tblPrEx>
        <w:trPr>
          <w:trHeight w:val="557" w:hRule="atLeast"/>
        </w:trPr>
        <w:tc>
          <w:tcPr>
            <w:tcW w:w="2277" w:type="dxa"/>
            <w:tcBorders>
              <w:top w:val="single" w:color="auto" w:sz="4" w:space="0"/>
              <w:left w:val="single" w:color="auto" w:sz="4" w:space="0"/>
              <w:bottom w:val="single" w:color="auto" w:sz="4" w:space="0"/>
              <w:right w:val="single" w:color="auto" w:sz="4" w:space="0"/>
            </w:tcBorders>
            <w:noWrap/>
            <w:vAlign w:val="center"/>
          </w:tcPr>
          <w:p w14:paraId="35637C6C">
            <w:pPr>
              <w:widowControl/>
              <w:jc w:val="center"/>
              <w:rPr>
                <w:rFonts w:ascii="宋体" w:cs="宋体"/>
                <w:kern w:val="0"/>
                <w:szCs w:val="21"/>
              </w:rPr>
            </w:pPr>
            <w:r>
              <w:rPr>
                <w:rFonts w:hint="eastAsia" w:ascii="宋体" w:hAnsi="宋体" w:cs="宋体"/>
                <w:kern w:val="0"/>
                <w:szCs w:val="21"/>
              </w:rPr>
              <w:t>项目地点</w:t>
            </w:r>
          </w:p>
        </w:tc>
        <w:tc>
          <w:tcPr>
            <w:tcW w:w="2586" w:type="dxa"/>
            <w:tcBorders>
              <w:top w:val="single" w:color="auto" w:sz="4" w:space="0"/>
              <w:left w:val="nil"/>
              <w:bottom w:val="single" w:color="auto" w:sz="4" w:space="0"/>
              <w:right w:val="single" w:color="auto" w:sz="4" w:space="0"/>
            </w:tcBorders>
            <w:noWrap/>
            <w:vAlign w:val="center"/>
          </w:tcPr>
          <w:p w14:paraId="7B966358">
            <w:pPr>
              <w:widowControl/>
              <w:jc w:val="center"/>
              <w:rPr>
                <w:rFonts w:ascii="宋体" w:cs="宋体"/>
                <w:kern w:val="0"/>
                <w:sz w:val="20"/>
                <w:szCs w:val="20"/>
              </w:rPr>
            </w:pPr>
            <w:r>
              <w:rPr>
                <w:rFonts w:hint="eastAsia" w:ascii="宋体" w:hAnsi="宋体" w:cs="宋体"/>
                <w:kern w:val="0"/>
                <w:sz w:val="20"/>
                <w:szCs w:val="20"/>
                <w:lang w:val="en-US" w:eastAsia="zh-CN"/>
              </w:rPr>
              <w:t>XX</w:t>
            </w:r>
            <w:r>
              <w:rPr>
                <w:rFonts w:hint="eastAsia" w:ascii="宋体" w:hAnsi="宋体" w:cs="宋体"/>
                <w:kern w:val="0"/>
                <w:sz w:val="20"/>
                <w:szCs w:val="20"/>
              </w:rPr>
              <w:t>学院</w:t>
            </w:r>
          </w:p>
        </w:tc>
        <w:tc>
          <w:tcPr>
            <w:tcW w:w="1796" w:type="dxa"/>
            <w:tcBorders>
              <w:top w:val="single" w:color="auto" w:sz="4" w:space="0"/>
              <w:left w:val="nil"/>
              <w:bottom w:val="single" w:color="auto" w:sz="4" w:space="0"/>
              <w:right w:val="single" w:color="auto" w:sz="4" w:space="0"/>
            </w:tcBorders>
            <w:noWrap/>
            <w:vAlign w:val="center"/>
          </w:tcPr>
          <w:p w14:paraId="004FE509">
            <w:pPr>
              <w:widowControl/>
              <w:jc w:val="center"/>
              <w:rPr>
                <w:rFonts w:ascii="宋体" w:cs="宋体"/>
                <w:kern w:val="0"/>
                <w:szCs w:val="21"/>
              </w:rPr>
            </w:pPr>
            <w:r>
              <w:rPr>
                <w:rFonts w:hint="eastAsia" w:ascii="宋体" w:hAnsi="宋体" w:cs="宋体"/>
                <w:kern w:val="0"/>
                <w:szCs w:val="21"/>
              </w:rPr>
              <w:t>预算数（万元）</w:t>
            </w:r>
          </w:p>
        </w:tc>
        <w:tc>
          <w:tcPr>
            <w:tcW w:w="1757" w:type="dxa"/>
            <w:tcBorders>
              <w:top w:val="single" w:color="auto" w:sz="4" w:space="0"/>
              <w:left w:val="nil"/>
              <w:bottom w:val="single" w:color="auto" w:sz="4" w:space="0"/>
              <w:right w:val="single" w:color="auto" w:sz="4" w:space="0"/>
            </w:tcBorders>
            <w:vAlign w:val="center"/>
          </w:tcPr>
          <w:p w14:paraId="4C36C08D">
            <w:pPr>
              <w:widowControl/>
              <w:jc w:val="center"/>
              <w:rPr>
                <w:rFonts w:hint="default" w:ascii="宋体" w:eastAsia="宋体" w:cs="宋体"/>
                <w:kern w:val="0"/>
                <w:szCs w:val="21"/>
                <w:lang w:val="en-US" w:eastAsia="zh-CN"/>
              </w:rPr>
            </w:pPr>
          </w:p>
        </w:tc>
      </w:tr>
      <w:tr w14:paraId="098EA62A">
        <w:tblPrEx>
          <w:tblCellMar>
            <w:top w:w="0" w:type="dxa"/>
            <w:left w:w="108" w:type="dxa"/>
            <w:bottom w:w="0" w:type="dxa"/>
            <w:right w:w="108" w:type="dxa"/>
          </w:tblCellMar>
        </w:tblPrEx>
        <w:trPr>
          <w:trHeight w:val="584" w:hRule="atLeast"/>
        </w:trPr>
        <w:tc>
          <w:tcPr>
            <w:tcW w:w="2277" w:type="dxa"/>
            <w:tcBorders>
              <w:top w:val="single" w:color="auto" w:sz="4" w:space="0"/>
              <w:left w:val="single" w:color="auto" w:sz="4" w:space="0"/>
              <w:bottom w:val="single" w:color="auto" w:sz="4" w:space="0"/>
              <w:right w:val="single" w:color="auto" w:sz="4" w:space="0"/>
            </w:tcBorders>
            <w:noWrap/>
            <w:vAlign w:val="center"/>
          </w:tcPr>
          <w:p w14:paraId="282A27DD">
            <w:pPr>
              <w:jc w:val="center"/>
              <w:rPr>
                <w:rFonts w:ascii="宋体" w:cs="宋体"/>
                <w:kern w:val="0"/>
                <w:szCs w:val="21"/>
              </w:rPr>
            </w:pPr>
            <w:r>
              <w:rPr>
                <w:rFonts w:hint="eastAsia" w:ascii="宋体" w:hAnsi="宋体" w:cs="宋体"/>
                <w:kern w:val="0"/>
                <w:szCs w:val="21"/>
              </w:rPr>
              <w:t>起始年份</w:t>
            </w:r>
          </w:p>
        </w:tc>
        <w:tc>
          <w:tcPr>
            <w:tcW w:w="2586" w:type="dxa"/>
            <w:tcBorders>
              <w:top w:val="single" w:color="auto" w:sz="4" w:space="0"/>
              <w:left w:val="nil"/>
              <w:bottom w:val="single" w:color="auto" w:sz="4" w:space="0"/>
              <w:right w:val="single" w:color="auto" w:sz="4" w:space="0"/>
            </w:tcBorders>
            <w:noWrap/>
            <w:vAlign w:val="center"/>
          </w:tcPr>
          <w:p w14:paraId="53BA7BAE">
            <w:pPr>
              <w:jc w:val="center"/>
              <w:rPr>
                <w:rFonts w:ascii="宋体" w:cs="宋体"/>
                <w:kern w:val="0"/>
                <w:sz w:val="20"/>
                <w:szCs w:val="20"/>
              </w:rPr>
            </w:pPr>
            <w:r>
              <w:rPr>
                <w:rFonts w:ascii="宋体" w:hAnsi="宋体" w:cs="宋体"/>
                <w:kern w:val="0"/>
                <w:sz w:val="20"/>
                <w:szCs w:val="20"/>
              </w:rPr>
              <w:t>2022</w:t>
            </w:r>
            <w:r>
              <w:rPr>
                <w:rFonts w:hint="eastAsia" w:ascii="宋体" w:hAnsi="宋体" w:cs="宋体"/>
                <w:kern w:val="0"/>
                <w:sz w:val="20"/>
                <w:szCs w:val="20"/>
              </w:rPr>
              <w:t>年</w:t>
            </w:r>
          </w:p>
        </w:tc>
        <w:tc>
          <w:tcPr>
            <w:tcW w:w="1796" w:type="dxa"/>
            <w:tcBorders>
              <w:top w:val="single" w:color="auto" w:sz="4" w:space="0"/>
              <w:left w:val="nil"/>
              <w:bottom w:val="single" w:color="auto" w:sz="4" w:space="0"/>
              <w:right w:val="single" w:color="auto" w:sz="4" w:space="0"/>
            </w:tcBorders>
            <w:noWrap/>
            <w:vAlign w:val="center"/>
          </w:tcPr>
          <w:p w14:paraId="0E37AAB5">
            <w:pPr>
              <w:jc w:val="center"/>
              <w:rPr>
                <w:rFonts w:ascii="宋体" w:cs="宋体"/>
                <w:kern w:val="0"/>
                <w:szCs w:val="21"/>
              </w:rPr>
            </w:pPr>
            <w:r>
              <w:rPr>
                <w:rFonts w:hint="eastAsia" w:ascii="宋体" w:hAnsi="宋体" w:cs="宋体"/>
                <w:kern w:val="0"/>
                <w:szCs w:val="21"/>
              </w:rPr>
              <w:t>建设类型（新建</w:t>
            </w:r>
            <w:r>
              <w:rPr>
                <w:rFonts w:ascii="宋体" w:hAnsi="宋体" w:cs="宋体"/>
                <w:kern w:val="0"/>
                <w:szCs w:val="21"/>
              </w:rPr>
              <w:t>/</w:t>
            </w:r>
            <w:r>
              <w:rPr>
                <w:rFonts w:hint="eastAsia" w:ascii="宋体" w:hAnsi="宋体" w:cs="宋体"/>
                <w:kern w:val="0"/>
                <w:szCs w:val="21"/>
              </w:rPr>
              <w:t>改建</w:t>
            </w:r>
            <w:r>
              <w:rPr>
                <w:rFonts w:ascii="宋体" w:hAnsi="宋体" w:cs="宋体"/>
                <w:kern w:val="0"/>
                <w:szCs w:val="21"/>
              </w:rPr>
              <w:t>/</w:t>
            </w:r>
            <w:r>
              <w:rPr>
                <w:rFonts w:hint="eastAsia" w:ascii="宋体" w:hAnsi="宋体" w:cs="宋体"/>
                <w:kern w:val="0"/>
                <w:szCs w:val="21"/>
              </w:rPr>
              <w:t>扩建）</w:t>
            </w:r>
          </w:p>
        </w:tc>
        <w:tc>
          <w:tcPr>
            <w:tcW w:w="1757" w:type="dxa"/>
            <w:tcBorders>
              <w:top w:val="single" w:color="auto" w:sz="4" w:space="0"/>
              <w:left w:val="nil"/>
              <w:bottom w:val="single" w:color="auto" w:sz="4" w:space="0"/>
              <w:right w:val="single" w:color="auto" w:sz="4" w:space="0"/>
            </w:tcBorders>
            <w:vAlign w:val="center"/>
          </w:tcPr>
          <w:p w14:paraId="3C343415">
            <w:pPr>
              <w:widowControl/>
              <w:jc w:val="center"/>
              <w:rPr>
                <w:rFonts w:ascii="宋体" w:cs="宋体"/>
                <w:kern w:val="0"/>
                <w:szCs w:val="21"/>
              </w:rPr>
            </w:pPr>
            <w:r>
              <w:rPr>
                <w:rFonts w:ascii="宋体" w:hAnsi="宋体" w:cs="宋体"/>
                <w:kern w:val="0"/>
                <w:szCs w:val="21"/>
              </w:rPr>
              <w:t xml:space="preserve"> </w:t>
            </w:r>
            <w:r>
              <w:rPr>
                <w:rFonts w:hint="eastAsia" w:ascii="宋体" w:hAnsi="宋体" w:cs="宋体"/>
                <w:kern w:val="0"/>
                <w:szCs w:val="21"/>
              </w:rPr>
              <w:t>新建</w:t>
            </w:r>
          </w:p>
        </w:tc>
      </w:tr>
      <w:tr w14:paraId="145013E7">
        <w:tblPrEx>
          <w:tblCellMar>
            <w:top w:w="0" w:type="dxa"/>
            <w:left w:w="108" w:type="dxa"/>
            <w:bottom w:w="0" w:type="dxa"/>
            <w:right w:w="108" w:type="dxa"/>
          </w:tblCellMar>
        </w:tblPrEx>
        <w:trPr>
          <w:trHeight w:val="584" w:hRule="atLeast"/>
        </w:trPr>
        <w:tc>
          <w:tcPr>
            <w:tcW w:w="2277" w:type="dxa"/>
            <w:tcBorders>
              <w:top w:val="single" w:color="auto" w:sz="4" w:space="0"/>
              <w:left w:val="single" w:color="auto" w:sz="4" w:space="0"/>
              <w:bottom w:val="single" w:color="auto" w:sz="4" w:space="0"/>
              <w:right w:val="single" w:color="auto" w:sz="4" w:space="0"/>
            </w:tcBorders>
            <w:noWrap/>
            <w:vAlign w:val="center"/>
          </w:tcPr>
          <w:p w14:paraId="0F2F6411">
            <w:pPr>
              <w:jc w:val="center"/>
              <w:rPr>
                <w:rFonts w:ascii="宋体" w:cs="宋体"/>
                <w:kern w:val="0"/>
                <w:szCs w:val="21"/>
              </w:rPr>
            </w:pPr>
            <w:r>
              <w:rPr>
                <w:rFonts w:hint="eastAsia" w:ascii="宋体" w:hAnsi="宋体" w:cs="宋体"/>
                <w:kern w:val="0"/>
                <w:szCs w:val="21"/>
              </w:rPr>
              <w:t>项目负责人</w:t>
            </w:r>
          </w:p>
        </w:tc>
        <w:tc>
          <w:tcPr>
            <w:tcW w:w="2586" w:type="dxa"/>
            <w:tcBorders>
              <w:top w:val="single" w:color="auto" w:sz="4" w:space="0"/>
              <w:left w:val="nil"/>
              <w:bottom w:val="single" w:color="auto" w:sz="4" w:space="0"/>
              <w:right w:val="single" w:color="auto" w:sz="4" w:space="0"/>
            </w:tcBorders>
            <w:noWrap/>
            <w:vAlign w:val="center"/>
          </w:tcPr>
          <w:p w14:paraId="4E640064">
            <w:pPr>
              <w:jc w:val="center"/>
              <w:rPr>
                <w:rFonts w:ascii="宋体" w:cs="宋体"/>
                <w:kern w:val="0"/>
                <w:sz w:val="20"/>
                <w:szCs w:val="20"/>
              </w:rPr>
            </w:pPr>
          </w:p>
        </w:tc>
        <w:tc>
          <w:tcPr>
            <w:tcW w:w="1796" w:type="dxa"/>
            <w:tcBorders>
              <w:top w:val="single" w:color="auto" w:sz="4" w:space="0"/>
              <w:left w:val="nil"/>
              <w:bottom w:val="single" w:color="auto" w:sz="4" w:space="0"/>
              <w:right w:val="single" w:color="auto" w:sz="4" w:space="0"/>
            </w:tcBorders>
            <w:noWrap/>
            <w:vAlign w:val="center"/>
          </w:tcPr>
          <w:p w14:paraId="072C0691">
            <w:pPr>
              <w:jc w:val="center"/>
              <w:rPr>
                <w:rFonts w:ascii="宋体" w:cs="宋体"/>
                <w:kern w:val="0"/>
                <w:szCs w:val="21"/>
              </w:rPr>
            </w:pPr>
            <w:r>
              <w:rPr>
                <w:rFonts w:hint="eastAsia" w:ascii="宋体" w:hAnsi="宋体" w:cs="宋体"/>
                <w:kern w:val="0"/>
                <w:szCs w:val="21"/>
              </w:rPr>
              <w:t>建设周期</w:t>
            </w:r>
          </w:p>
        </w:tc>
        <w:tc>
          <w:tcPr>
            <w:tcW w:w="1757" w:type="dxa"/>
            <w:tcBorders>
              <w:top w:val="single" w:color="auto" w:sz="4" w:space="0"/>
              <w:left w:val="nil"/>
              <w:bottom w:val="single" w:color="auto" w:sz="4" w:space="0"/>
              <w:right w:val="single" w:color="auto" w:sz="4" w:space="0"/>
            </w:tcBorders>
            <w:vAlign w:val="center"/>
          </w:tcPr>
          <w:p w14:paraId="383F6791">
            <w:pPr>
              <w:widowControl/>
              <w:jc w:val="center"/>
              <w:rPr>
                <w:rFonts w:ascii="宋体" w:cs="宋体"/>
                <w:kern w:val="0"/>
                <w:szCs w:val="21"/>
              </w:rPr>
            </w:pPr>
            <w:r>
              <w:rPr>
                <w:rFonts w:ascii="宋体" w:hAnsi="宋体" w:cs="宋体"/>
                <w:kern w:val="0"/>
                <w:szCs w:val="21"/>
              </w:rPr>
              <w:t>1</w:t>
            </w:r>
            <w:r>
              <w:rPr>
                <w:rFonts w:hint="eastAsia" w:ascii="宋体" w:hAnsi="宋体" w:cs="宋体"/>
                <w:kern w:val="0"/>
                <w:szCs w:val="21"/>
              </w:rPr>
              <w:t>年</w:t>
            </w:r>
          </w:p>
        </w:tc>
      </w:tr>
      <w:tr w14:paraId="02F43B9D">
        <w:tblPrEx>
          <w:tblCellMar>
            <w:top w:w="0" w:type="dxa"/>
            <w:left w:w="108" w:type="dxa"/>
            <w:bottom w:w="0" w:type="dxa"/>
            <w:right w:w="108" w:type="dxa"/>
          </w:tblCellMar>
        </w:tblPrEx>
        <w:trPr>
          <w:trHeight w:val="807" w:hRule="atLeast"/>
        </w:trPr>
        <w:tc>
          <w:tcPr>
            <w:tcW w:w="2277" w:type="dxa"/>
            <w:tcBorders>
              <w:top w:val="single" w:color="auto" w:sz="4" w:space="0"/>
              <w:left w:val="single" w:color="auto" w:sz="4" w:space="0"/>
              <w:bottom w:val="single" w:color="auto" w:sz="4" w:space="0"/>
              <w:right w:val="single" w:color="auto" w:sz="4" w:space="0"/>
            </w:tcBorders>
            <w:noWrap/>
            <w:vAlign w:val="center"/>
          </w:tcPr>
          <w:p w14:paraId="5510FD6A">
            <w:pPr>
              <w:widowControl/>
              <w:jc w:val="center"/>
              <w:rPr>
                <w:rFonts w:ascii="宋体" w:cs="宋体"/>
                <w:kern w:val="0"/>
                <w:szCs w:val="21"/>
              </w:rPr>
            </w:pPr>
            <w:r>
              <w:rPr>
                <w:rFonts w:hint="eastAsia" w:ascii="宋体" w:hAnsi="宋体" w:cs="宋体"/>
                <w:kern w:val="0"/>
                <w:szCs w:val="21"/>
              </w:rPr>
              <w:t>项目简要说明</w:t>
            </w:r>
          </w:p>
        </w:tc>
        <w:tc>
          <w:tcPr>
            <w:tcW w:w="6139" w:type="dxa"/>
            <w:gridSpan w:val="3"/>
            <w:tcBorders>
              <w:top w:val="single" w:color="auto" w:sz="4" w:space="0"/>
              <w:left w:val="nil"/>
              <w:bottom w:val="single" w:color="auto" w:sz="4" w:space="0"/>
              <w:right w:val="single" w:color="auto" w:sz="4" w:space="0"/>
            </w:tcBorders>
            <w:noWrap/>
            <w:vAlign w:val="center"/>
          </w:tcPr>
          <w:p w14:paraId="1A3C74F3">
            <w:pPr>
              <w:spacing w:line="360" w:lineRule="exact"/>
              <w:ind w:firstLine="420" w:firstLineChars="200"/>
              <w:rPr>
                <w:rFonts w:hint="eastAsia"/>
              </w:rPr>
            </w:pPr>
            <w:r>
              <w:rPr>
                <w:rFonts w:hint="eastAsia"/>
              </w:rPr>
              <w:t>国家要求高等学校要把建立和完善物流</w:t>
            </w:r>
            <w:r>
              <w:rPr>
                <w:rFonts w:hint="eastAsia"/>
                <w:lang w:eastAsia="zh-CN"/>
              </w:rPr>
              <w:t>实践</w:t>
            </w:r>
            <w:r>
              <w:rPr>
                <w:rFonts w:hint="eastAsia"/>
              </w:rPr>
              <w:t>教学体系，作为人才培养方案的重要内容。根据教育部和教育厅关于</w:t>
            </w:r>
            <w:r>
              <w:rPr>
                <w:rFonts w:hint="eastAsia"/>
                <w:lang w:eastAsia="zh-CN"/>
              </w:rPr>
              <w:t>实验</w:t>
            </w:r>
            <w:r>
              <w:rPr>
                <w:rFonts w:hint="eastAsia"/>
              </w:rPr>
              <w:t>的要求，如何改进现有的教学模式，给学生创造更多的实践机会和提高物流实战技能，培养学生的动手能力和自主创新能力，使之成为能够尽快适应社会环境的合格毕业生，是高等教育教学改革的一个重要方向。</w:t>
            </w:r>
          </w:p>
          <w:p w14:paraId="04846C10">
            <w:pPr>
              <w:pStyle w:val="2"/>
              <w:rPr>
                <w:rFonts w:hint="eastAsia"/>
              </w:rPr>
            </w:pPr>
            <w:r>
              <w:rPr>
                <w:rFonts w:hint="eastAsia"/>
              </w:rPr>
              <w:t>《智慧物流实验室（智慧物流决策仿真系统）实训》是通过构建仿真环境、按实际智慧物流实战过程，通过角色扮演、协同工作以及角色轮换，让学生体验智慧物流实战相关过程（特别是公司创立、经营资质审批、物流订单竞争、仓储与运输调度、成本绩效核算）所需的技能，同时使学生在校期间就养成按智慧物流实战和公司经营规范实施内部控制、防范风险的良好就业心态。</w:t>
            </w:r>
          </w:p>
          <w:p w14:paraId="165CD7FF">
            <w:pPr>
              <w:pStyle w:val="2"/>
              <w:rPr>
                <w:rFonts w:hint="eastAsia"/>
              </w:rPr>
            </w:pPr>
            <w:r>
              <w:rPr>
                <w:rFonts w:hint="eastAsia"/>
              </w:rPr>
              <w:t>智慧物流实验室（智慧物流决策仿真系统）项目建设，是为适应</w:t>
            </w:r>
            <w:r>
              <w:rPr>
                <w:rFonts w:hint="eastAsia"/>
                <w:lang w:eastAsia="zh-CN"/>
              </w:rPr>
              <w:t>智慧物流</w:t>
            </w:r>
            <w:r>
              <w:rPr>
                <w:rFonts w:hint="eastAsia"/>
              </w:rPr>
              <w:t>的科技发展趋势，提高学生的决策思维能力、数据分析能力、模型应用能力，全面提升经管类本科人才培养质量。并对建设高校实验教学内容开发与资源共享平台、实验教学效果展示平台、实验教学改革经验交流平台起到极大帮助。</w:t>
            </w:r>
          </w:p>
        </w:tc>
      </w:tr>
      <w:tr w14:paraId="6B9438B3">
        <w:tblPrEx>
          <w:tblCellMar>
            <w:top w:w="0" w:type="dxa"/>
            <w:left w:w="108" w:type="dxa"/>
            <w:bottom w:w="0" w:type="dxa"/>
            <w:right w:w="108" w:type="dxa"/>
          </w:tblCellMar>
        </w:tblPrEx>
        <w:trPr>
          <w:trHeight w:val="677" w:hRule="atLeast"/>
        </w:trPr>
        <w:tc>
          <w:tcPr>
            <w:tcW w:w="2277" w:type="dxa"/>
            <w:tcBorders>
              <w:top w:val="single" w:color="auto" w:sz="4" w:space="0"/>
              <w:left w:val="single" w:color="auto" w:sz="4" w:space="0"/>
              <w:bottom w:val="single" w:color="auto" w:sz="4" w:space="0"/>
              <w:right w:val="single" w:color="auto" w:sz="4" w:space="0"/>
            </w:tcBorders>
            <w:noWrap/>
            <w:vAlign w:val="center"/>
          </w:tcPr>
          <w:p w14:paraId="2B133DD6">
            <w:pPr>
              <w:widowControl/>
              <w:ind w:firstLine="120" w:firstLineChars="50"/>
              <w:jc w:val="center"/>
              <w:rPr>
                <w:rFonts w:ascii="宋体" w:cs="宋体"/>
                <w:kern w:val="0"/>
                <w:sz w:val="24"/>
              </w:rPr>
            </w:pPr>
            <w:r>
              <w:rPr>
                <w:rFonts w:hint="eastAsia" w:ascii="宋体" w:hAnsi="宋体" w:cs="宋体"/>
                <w:kern w:val="0"/>
                <w:sz w:val="24"/>
              </w:rPr>
              <w:t>立项依据及政策简要说明</w:t>
            </w:r>
          </w:p>
          <w:p w14:paraId="0B7DCA63">
            <w:pPr>
              <w:widowControl/>
              <w:ind w:firstLine="120" w:firstLineChars="50"/>
              <w:jc w:val="center"/>
              <w:rPr>
                <w:rFonts w:ascii="宋体" w:cs="宋体"/>
                <w:kern w:val="0"/>
                <w:sz w:val="24"/>
              </w:rPr>
            </w:pPr>
            <w:r>
              <w:rPr>
                <w:rFonts w:hint="eastAsia" w:ascii="宋体" w:hAnsi="宋体" w:cs="宋体"/>
                <w:kern w:val="0"/>
                <w:sz w:val="24"/>
              </w:rPr>
              <w:t>（不少于</w:t>
            </w:r>
            <w:r>
              <w:rPr>
                <w:rFonts w:ascii="宋体" w:hAnsi="宋体" w:cs="宋体"/>
                <w:kern w:val="0"/>
                <w:sz w:val="24"/>
              </w:rPr>
              <w:t>200</w:t>
            </w:r>
            <w:r>
              <w:rPr>
                <w:rFonts w:hint="eastAsia" w:ascii="宋体" w:hAnsi="宋体" w:cs="宋体"/>
                <w:kern w:val="0"/>
                <w:sz w:val="24"/>
              </w:rPr>
              <w:t>字）</w:t>
            </w:r>
          </w:p>
        </w:tc>
        <w:tc>
          <w:tcPr>
            <w:tcW w:w="6139" w:type="dxa"/>
            <w:gridSpan w:val="3"/>
            <w:tcBorders>
              <w:top w:val="single" w:color="auto" w:sz="4" w:space="0"/>
              <w:left w:val="nil"/>
              <w:bottom w:val="single" w:color="auto" w:sz="4" w:space="0"/>
              <w:right w:val="single" w:color="auto" w:sz="4" w:space="0"/>
            </w:tcBorders>
            <w:noWrap/>
            <w:vAlign w:val="center"/>
          </w:tcPr>
          <w:p w14:paraId="2E353CA5">
            <w:pPr>
              <w:spacing w:line="360" w:lineRule="exact"/>
              <w:ind w:firstLine="422" w:firstLineChars="200"/>
              <w:rPr>
                <w:rFonts w:hint="eastAsia" w:ascii="Calibri" w:hAnsi="Calibri" w:eastAsia="宋体" w:cs="Times New Roman"/>
                <w:b/>
                <w:bCs/>
                <w:kern w:val="2"/>
                <w:sz w:val="21"/>
                <w:szCs w:val="22"/>
                <w:lang w:val="en-US" w:eastAsia="zh-CN" w:bidi="ar-SA"/>
              </w:rPr>
            </w:pPr>
            <w:r>
              <w:rPr>
                <w:rFonts w:hint="eastAsia" w:ascii="Calibri" w:hAnsi="Calibri" w:eastAsia="宋体" w:cs="Times New Roman"/>
                <w:b/>
                <w:bCs/>
                <w:kern w:val="2"/>
                <w:sz w:val="21"/>
                <w:szCs w:val="22"/>
                <w:lang w:val="en-US" w:eastAsia="zh-CN" w:bidi="ar-SA"/>
              </w:rPr>
              <w:t>对发展规划必要性：</w:t>
            </w:r>
          </w:p>
          <w:p w14:paraId="656C2CB3">
            <w:pPr>
              <w:spacing w:line="360" w:lineRule="exact"/>
              <w:ind w:firstLine="420" w:firstLineChars="200"/>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根据国务院国发〔2021〕29号文件《国务院关于印发“十四五”数字经济发展规划的通知》要求，以数据为关键要素，以数字技术与实体经济深度融合为主线，加强数字基础设施建设，完善数字经济治理体系，协同推进数字产业化和产业数字化，赋能传统产业转型升级，培育新产业新业态新模式，不断做强做优做大我国数字经济，为构建数字中国提供有力支撑。我校急需加强数字经济项目建设，申报建设智慧物流实验室（智慧物流决策仿真系统），落实“数字经济人才”培养，从高校层面助力国家数字经济建设。</w:t>
            </w:r>
          </w:p>
          <w:p w14:paraId="0FAD073F">
            <w:pPr>
              <w:spacing w:line="360" w:lineRule="exact"/>
              <w:ind w:firstLine="420" w:firstLineChars="200"/>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根据教育部教高函【2018】5号文件《关于开展国家虚拟仿真实验教学项目建设工作的通知》要求，开展国家虚拟仿真实验教学项目建设工作是深化信息技术与教育教学深度融合，拓展实验教学内容广度和深度、延伸实验教学时间和空间、提升实验教学质量和水平的重要举措。我校急需加强</w:t>
            </w:r>
            <w:r>
              <w:rPr>
                <w:rFonts w:hint="eastAsia"/>
              </w:rPr>
              <w:t>智慧物流实验室（智慧物流决策仿真系统）</w:t>
            </w:r>
            <w:r>
              <w:rPr>
                <w:rFonts w:hint="eastAsia" w:ascii="Calibri" w:hAnsi="Calibri" w:eastAsia="宋体" w:cs="Times New Roman"/>
                <w:kern w:val="2"/>
                <w:sz w:val="21"/>
                <w:szCs w:val="22"/>
                <w:lang w:val="en-US" w:eastAsia="zh-CN" w:bidi="ar-SA"/>
              </w:rPr>
              <w:t>项目建设。本次申报的</w:t>
            </w:r>
            <w:r>
              <w:rPr>
                <w:rFonts w:hint="eastAsia"/>
              </w:rPr>
              <w:t>智慧物流</w:t>
            </w:r>
            <w:r>
              <w:rPr>
                <w:rFonts w:hint="eastAsia" w:ascii="Calibri" w:hAnsi="Calibri" w:eastAsia="宋体" w:cs="Times New Roman"/>
                <w:kern w:val="2"/>
                <w:sz w:val="21"/>
                <w:szCs w:val="22"/>
                <w:lang w:val="en-US" w:eastAsia="zh-CN" w:bidi="ar-SA"/>
              </w:rPr>
              <w:t xml:space="preserve">实验室设备采购是基于虚拟仿真的高端数据决策实验。 </w:t>
            </w:r>
          </w:p>
          <w:p w14:paraId="0490B79A">
            <w:pPr>
              <w:spacing w:line="360" w:lineRule="exact"/>
              <w:ind w:firstLine="420" w:firstLineChars="200"/>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 xml:space="preserve"> </w:t>
            </w:r>
            <w:r>
              <w:rPr>
                <w:rFonts w:hint="eastAsia" w:ascii="Calibri" w:hAnsi="Calibri" w:eastAsia="宋体" w:cs="Times New Roman"/>
                <w:b/>
                <w:bCs/>
                <w:kern w:val="2"/>
                <w:sz w:val="21"/>
                <w:szCs w:val="22"/>
                <w:lang w:val="en-US" w:eastAsia="zh-CN" w:bidi="ar-SA"/>
              </w:rPr>
              <w:t>与申报单位职能、规划及工作必要性：</w:t>
            </w:r>
            <w:r>
              <w:rPr>
                <w:rFonts w:hint="eastAsia" w:ascii="Calibri" w:hAnsi="Calibri" w:eastAsia="宋体" w:cs="Times New Roman"/>
                <w:kern w:val="2"/>
                <w:sz w:val="21"/>
                <w:szCs w:val="22"/>
                <w:lang w:val="en-US" w:eastAsia="zh-CN" w:bidi="ar-SA"/>
              </w:rPr>
              <w:t>各类</w:t>
            </w:r>
            <w:r>
              <w:rPr>
                <w:rFonts w:hint="eastAsia" w:eastAsia="宋体" w:cs="Times New Roman"/>
                <w:kern w:val="2"/>
                <w:sz w:val="21"/>
                <w:szCs w:val="22"/>
                <w:lang w:val="en-US" w:eastAsia="zh-CN" w:bidi="ar-SA"/>
              </w:rPr>
              <w:t>物流</w:t>
            </w:r>
            <w:r>
              <w:rPr>
                <w:rFonts w:hint="eastAsia" w:ascii="Calibri" w:hAnsi="Calibri" w:eastAsia="宋体" w:cs="Times New Roman"/>
                <w:kern w:val="2"/>
                <w:sz w:val="21"/>
                <w:szCs w:val="22"/>
                <w:lang w:val="en-US" w:eastAsia="zh-CN" w:bidi="ar-SA"/>
              </w:rPr>
              <w:t>机构无法提供太多岗位接收学生大规模实训；即使学生在这些机构实训，也无法接触到核心业务，只能从事一些外围业务；</w:t>
            </w:r>
            <w:r>
              <w:rPr>
                <w:rFonts w:hint="eastAsia" w:eastAsia="宋体" w:cs="Times New Roman"/>
                <w:kern w:val="2"/>
                <w:sz w:val="21"/>
                <w:szCs w:val="22"/>
                <w:lang w:val="en-US" w:eastAsia="zh-CN" w:bidi="ar-SA"/>
              </w:rPr>
              <w:t>物流管理</w:t>
            </w:r>
            <w:r>
              <w:rPr>
                <w:rFonts w:hint="eastAsia" w:ascii="Calibri" w:hAnsi="Calibri" w:eastAsia="宋体" w:cs="Times New Roman"/>
                <w:kern w:val="2"/>
                <w:sz w:val="21"/>
                <w:szCs w:val="22"/>
                <w:lang w:val="en-US" w:eastAsia="zh-CN" w:bidi="ar-SA"/>
              </w:rPr>
              <w:t>类专业理论知识较多，现有已建实验已初步把基础和操作类理论知识用在实训中，更深层次后台业务决策、设施设备管理、风险管控、</w:t>
            </w:r>
            <w:r>
              <w:rPr>
                <w:rFonts w:hint="eastAsia" w:eastAsia="宋体" w:cs="Times New Roman"/>
                <w:kern w:val="2"/>
                <w:sz w:val="21"/>
                <w:szCs w:val="22"/>
                <w:lang w:val="en-US" w:eastAsia="zh-CN" w:bidi="ar-SA"/>
              </w:rPr>
              <w:t>运输</w:t>
            </w:r>
            <w:r>
              <w:rPr>
                <w:rFonts w:hint="eastAsia" w:ascii="Calibri" w:hAnsi="Calibri" w:eastAsia="宋体" w:cs="Times New Roman"/>
                <w:kern w:val="2"/>
                <w:sz w:val="21"/>
                <w:szCs w:val="22"/>
                <w:lang w:val="en-US" w:eastAsia="zh-CN" w:bidi="ar-SA"/>
              </w:rPr>
              <w:t xml:space="preserve">数据分析等一直是理论教学与研究，还有待增加实训实验环节。 </w:t>
            </w:r>
          </w:p>
          <w:p w14:paraId="16C7E5A4">
            <w:pPr>
              <w:spacing w:line="360" w:lineRule="exact"/>
              <w:ind w:firstLine="422" w:firstLineChars="200"/>
              <w:rPr>
                <w:rFonts w:hint="eastAsia" w:ascii="Calibri" w:hAnsi="Calibri" w:eastAsia="宋体" w:cs="Times New Roman"/>
                <w:kern w:val="2"/>
                <w:sz w:val="21"/>
                <w:szCs w:val="22"/>
                <w:lang w:val="en-US" w:eastAsia="zh-CN" w:bidi="ar-SA"/>
              </w:rPr>
            </w:pPr>
            <w:r>
              <w:rPr>
                <w:rFonts w:hint="eastAsia" w:ascii="Calibri" w:hAnsi="Calibri" w:eastAsia="宋体" w:cs="Times New Roman"/>
                <w:b/>
                <w:bCs/>
                <w:kern w:val="2"/>
                <w:sz w:val="21"/>
                <w:szCs w:val="22"/>
                <w:lang w:val="en-US" w:eastAsia="zh-CN" w:bidi="ar-SA"/>
              </w:rPr>
              <w:t>与现实需求必要性、急迫性：</w:t>
            </w:r>
            <w:r>
              <w:rPr>
                <w:rFonts w:hint="eastAsia" w:ascii="Calibri" w:hAnsi="Calibri" w:eastAsia="宋体" w:cs="Times New Roman"/>
                <w:kern w:val="2"/>
                <w:sz w:val="21"/>
                <w:szCs w:val="22"/>
                <w:lang w:val="en-US" w:eastAsia="zh-CN" w:bidi="ar-SA"/>
              </w:rPr>
              <w:t>教育部正在实施的“双万计划”，急需建设省级和国家级一流专业、一流金课，本项目的仿真实验具有更深层次后台业务决策、设施设备管理、风险管控、</w:t>
            </w:r>
            <w:r>
              <w:rPr>
                <w:rFonts w:hint="eastAsia" w:eastAsia="宋体" w:cs="Times New Roman"/>
                <w:kern w:val="2"/>
                <w:sz w:val="21"/>
                <w:szCs w:val="22"/>
                <w:lang w:val="en-US" w:eastAsia="zh-CN" w:bidi="ar-SA"/>
              </w:rPr>
              <w:t>运输</w:t>
            </w:r>
            <w:r>
              <w:rPr>
                <w:rFonts w:hint="eastAsia" w:ascii="Calibri" w:hAnsi="Calibri" w:eastAsia="宋体" w:cs="Times New Roman"/>
                <w:kern w:val="2"/>
                <w:sz w:val="21"/>
                <w:szCs w:val="22"/>
                <w:lang w:val="en-US" w:eastAsia="zh-CN" w:bidi="ar-SA"/>
              </w:rPr>
              <w:t xml:space="preserve">数据分析等实训实验环节，能够为我校申报建设一流专业、一流金课提供强有力的支撑。 </w:t>
            </w:r>
          </w:p>
          <w:p w14:paraId="3013CE15">
            <w:pPr>
              <w:spacing w:line="360" w:lineRule="exact"/>
              <w:ind w:firstLine="422" w:firstLineChars="200"/>
              <w:rPr>
                <w:rFonts w:hint="eastAsia" w:ascii="宋体" w:cs="宋体"/>
                <w:szCs w:val="21"/>
              </w:rPr>
            </w:pPr>
            <w:r>
              <w:rPr>
                <w:rFonts w:hint="eastAsia" w:ascii="宋体" w:cs="宋体"/>
                <w:b/>
                <w:bCs/>
                <w:szCs w:val="21"/>
              </w:rPr>
              <w:t>项目背景要求实施的必要性</w:t>
            </w:r>
            <w:r>
              <w:rPr>
                <w:rFonts w:hint="eastAsia" w:ascii="宋体" w:cs="宋体"/>
                <w:b/>
                <w:bCs/>
                <w:szCs w:val="21"/>
                <w:lang w:eastAsia="zh-CN"/>
              </w:rPr>
              <w:t>：</w:t>
            </w:r>
            <w:r>
              <w:rPr>
                <w:rFonts w:hint="eastAsia" w:ascii="宋体" w:cs="宋体"/>
                <w:szCs w:val="21"/>
              </w:rPr>
              <w:t>国家要求高等学校要把建立和完善实践教学体系，作为提高教学质量重要内容。根据教育部和教育厅关于质量工程、实践教学体系的要求，如何改进现有教学模式，给学生创造更多实践机会和提高职业技能，培养学生动手能力和自主创新能力，使之成为能够尽快适应社会环境的合格毕业生，是高等教育教学改革一个重要方向。我校</w:t>
            </w:r>
            <w:r>
              <w:rPr>
                <w:rFonts w:hint="eastAsia" w:ascii="宋体" w:cs="宋体"/>
                <w:szCs w:val="21"/>
                <w:highlight w:val="yellow"/>
              </w:rPr>
              <w:t>物流管理专业</w:t>
            </w:r>
            <w:r>
              <w:rPr>
                <w:rFonts w:hint="eastAsia" w:ascii="宋体" w:cs="宋体"/>
                <w:szCs w:val="21"/>
              </w:rPr>
              <w:t>实践教学经过前期建设后，仍存在以下难点：</w:t>
            </w:r>
          </w:p>
          <w:p w14:paraId="11BCEAE8">
            <w:pPr>
              <w:spacing w:line="360" w:lineRule="exact"/>
              <w:ind w:firstLine="420" w:firstLineChars="200"/>
              <w:rPr>
                <w:rFonts w:hint="eastAsia" w:ascii="宋体" w:cs="宋体"/>
                <w:szCs w:val="21"/>
              </w:rPr>
            </w:pPr>
            <w:r>
              <w:rPr>
                <w:rFonts w:hint="eastAsia" w:ascii="宋体" w:cs="宋体"/>
                <w:szCs w:val="21"/>
              </w:rPr>
              <w:t>一是当前学生已不满足于简单操作实训与流程实训，要求能够深入到后台核心决策业务和数据分析业务。这类业务实训也非常适合本科阶段能力素质培养要求。</w:t>
            </w:r>
          </w:p>
          <w:p w14:paraId="4F6C8D12">
            <w:pPr>
              <w:spacing w:line="360" w:lineRule="exact"/>
              <w:ind w:firstLine="420" w:firstLineChars="200"/>
              <w:rPr>
                <w:rFonts w:hint="eastAsia" w:ascii="宋体" w:cs="宋体"/>
                <w:szCs w:val="21"/>
              </w:rPr>
            </w:pPr>
            <w:r>
              <w:rPr>
                <w:rFonts w:hint="eastAsia" w:ascii="宋体" w:cs="宋体"/>
                <w:szCs w:val="21"/>
              </w:rPr>
              <w:t>二是各类物流相关部门（如经济管理部门、各类工商企业、第三方物流企业、口岸运行部门）无法提供太多岗位接收学生大规模实训；即使学生在这些机构实训，也无法接触到</w:t>
            </w:r>
            <w:r>
              <w:rPr>
                <w:rFonts w:hint="eastAsia" w:ascii="宋体" w:cs="宋体"/>
                <w:szCs w:val="21"/>
                <w:lang w:eastAsia="zh-CN"/>
              </w:rPr>
              <w:t>决策</w:t>
            </w:r>
            <w:r>
              <w:rPr>
                <w:rFonts w:hint="eastAsia" w:ascii="宋体" w:cs="宋体"/>
                <w:szCs w:val="21"/>
              </w:rPr>
              <w:t>分析业务，只能从事一些外围业务；</w:t>
            </w:r>
          </w:p>
          <w:p w14:paraId="4FF348F3">
            <w:pPr>
              <w:spacing w:line="360" w:lineRule="exact"/>
              <w:ind w:firstLine="420" w:firstLineChars="200"/>
              <w:rPr>
                <w:rFonts w:hint="eastAsia" w:ascii="宋体" w:cs="宋体"/>
                <w:szCs w:val="21"/>
              </w:rPr>
            </w:pPr>
            <w:r>
              <w:rPr>
                <w:rFonts w:hint="eastAsia" w:ascii="宋体" w:cs="宋体"/>
                <w:szCs w:val="21"/>
              </w:rPr>
              <w:t>三是物流专业理论知识较多，现有已建实验已初步把基础和操作类理论知识用在实训中，更深层次后</w:t>
            </w:r>
            <w:r>
              <w:rPr>
                <w:rFonts w:hint="eastAsia"/>
              </w:rPr>
              <w:t>智慧物流决策仿真</w:t>
            </w:r>
            <w:r>
              <w:rPr>
                <w:rFonts w:hint="eastAsia" w:ascii="宋体" w:cs="宋体"/>
                <w:szCs w:val="21"/>
              </w:rPr>
              <w:t>实训等一直是理论教学与研究，还有待增加实训实验环节。</w:t>
            </w:r>
          </w:p>
          <w:p w14:paraId="1EADBAEA">
            <w:pPr>
              <w:spacing w:line="360" w:lineRule="exact"/>
              <w:ind w:firstLine="420" w:firstLineChars="200"/>
              <w:rPr>
                <w:rFonts w:hint="eastAsia" w:ascii="宋体" w:cs="宋体"/>
                <w:szCs w:val="21"/>
              </w:rPr>
            </w:pPr>
            <w:r>
              <w:rPr>
                <w:rFonts w:hint="eastAsia"/>
              </w:rPr>
              <w:t>智慧物流实验室（智慧物流决策仿真系统）</w:t>
            </w:r>
            <w:r>
              <w:rPr>
                <w:rFonts w:hint="eastAsia" w:ascii="宋体" w:cs="宋体"/>
                <w:szCs w:val="21"/>
              </w:rPr>
              <w:t>项目的建设解决了我系实践教学难点，弥补我校在物流类</w:t>
            </w:r>
            <w:r>
              <w:rPr>
                <w:rFonts w:hint="eastAsia" w:ascii="宋体" w:cs="宋体"/>
                <w:szCs w:val="21"/>
                <w:lang w:eastAsia="zh-CN"/>
              </w:rPr>
              <w:t>数字化决策</w:t>
            </w:r>
            <w:r>
              <w:rPr>
                <w:rFonts w:hint="eastAsia" w:ascii="宋体" w:cs="宋体"/>
                <w:szCs w:val="21"/>
              </w:rPr>
              <w:t>等高端实训不足。更为重要的是，</w:t>
            </w:r>
            <w:r>
              <w:rPr>
                <w:rFonts w:hint="eastAsia"/>
              </w:rPr>
              <w:t>智慧物流决策仿真</w:t>
            </w:r>
            <w:r>
              <w:rPr>
                <w:rFonts w:hint="eastAsia" w:ascii="宋体" w:cs="宋体"/>
                <w:szCs w:val="21"/>
              </w:rPr>
              <w:t>课程可纳入到</w:t>
            </w:r>
            <w:r>
              <w:rPr>
                <w:rFonts w:hint="eastAsia" w:ascii="宋体" w:cs="宋体"/>
                <w:szCs w:val="21"/>
                <w:highlight w:val="yellow"/>
              </w:rPr>
              <w:t>经济学、国际经济与贸易、电子商务和物流管理、数字经济等专业</w:t>
            </w:r>
            <w:r>
              <w:rPr>
                <w:rFonts w:hint="eastAsia" w:ascii="宋体" w:cs="宋体"/>
                <w:szCs w:val="21"/>
              </w:rPr>
              <w:t>教学培养方案中，亟需实验软件等教学资源的补充。</w:t>
            </w:r>
          </w:p>
        </w:tc>
      </w:tr>
      <w:tr w14:paraId="0CD831D0">
        <w:tblPrEx>
          <w:tblCellMar>
            <w:top w:w="0" w:type="dxa"/>
            <w:left w:w="108" w:type="dxa"/>
            <w:bottom w:w="0" w:type="dxa"/>
            <w:right w:w="108" w:type="dxa"/>
          </w:tblCellMar>
        </w:tblPrEx>
        <w:trPr>
          <w:trHeight w:val="4499" w:hRule="atLeast"/>
        </w:trPr>
        <w:tc>
          <w:tcPr>
            <w:tcW w:w="2277" w:type="dxa"/>
            <w:tcBorders>
              <w:top w:val="single" w:color="auto" w:sz="4" w:space="0"/>
              <w:left w:val="single" w:color="auto" w:sz="4" w:space="0"/>
              <w:bottom w:val="single" w:color="auto" w:sz="4" w:space="0"/>
              <w:right w:val="single" w:color="auto" w:sz="4" w:space="0"/>
            </w:tcBorders>
            <w:noWrap/>
            <w:vAlign w:val="center"/>
          </w:tcPr>
          <w:p w14:paraId="7DEBEC13">
            <w:pPr>
              <w:widowControl/>
              <w:ind w:firstLine="360" w:firstLineChars="150"/>
              <w:jc w:val="left"/>
              <w:rPr>
                <w:rFonts w:ascii="宋体" w:cs="宋体"/>
                <w:kern w:val="0"/>
                <w:sz w:val="24"/>
              </w:rPr>
            </w:pPr>
            <w:r>
              <w:rPr>
                <w:rFonts w:hint="eastAsia" w:ascii="宋体" w:hAnsi="宋体" w:cs="宋体"/>
                <w:kern w:val="0"/>
                <w:sz w:val="24"/>
              </w:rPr>
              <w:t>项目主要内容</w:t>
            </w:r>
          </w:p>
          <w:p w14:paraId="7D6CDB53">
            <w:pPr>
              <w:widowControl/>
              <w:ind w:firstLine="120" w:firstLineChars="50"/>
              <w:jc w:val="left"/>
              <w:rPr>
                <w:rFonts w:ascii="宋体" w:cs="宋体"/>
                <w:kern w:val="0"/>
                <w:sz w:val="24"/>
              </w:rPr>
            </w:pPr>
            <w:r>
              <w:rPr>
                <w:rFonts w:hint="eastAsia" w:ascii="宋体" w:hAnsi="宋体" w:cs="宋体"/>
                <w:kern w:val="0"/>
                <w:sz w:val="24"/>
              </w:rPr>
              <w:t>（不少于</w:t>
            </w:r>
            <w:r>
              <w:rPr>
                <w:rFonts w:ascii="宋体" w:hAnsi="宋体" w:cs="宋体"/>
                <w:kern w:val="0"/>
                <w:sz w:val="24"/>
              </w:rPr>
              <w:t>200</w:t>
            </w:r>
            <w:r>
              <w:rPr>
                <w:rFonts w:hint="eastAsia" w:ascii="宋体" w:hAnsi="宋体" w:cs="宋体"/>
                <w:kern w:val="0"/>
                <w:sz w:val="24"/>
              </w:rPr>
              <w:t>字）</w:t>
            </w:r>
          </w:p>
        </w:tc>
        <w:tc>
          <w:tcPr>
            <w:tcW w:w="6139" w:type="dxa"/>
            <w:gridSpan w:val="3"/>
            <w:tcBorders>
              <w:top w:val="single" w:color="auto" w:sz="4" w:space="0"/>
              <w:left w:val="nil"/>
              <w:bottom w:val="single" w:color="auto" w:sz="4" w:space="0"/>
              <w:right w:val="single" w:color="auto" w:sz="4" w:space="0"/>
            </w:tcBorders>
            <w:noWrap/>
            <w:vAlign w:val="center"/>
          </w:tcPr>
          <w:p w14:paraId="469FA666">
            <w:pPr>
              <w:spacing w:line="360" w:lineRule="exact"/>
              <w:ind w:firstLine="420" w:firstLineChars="200"/>
              <w:rPr>
                <w:rFonts w:hint="eastAsia"/>
              </w:rPr>
            </w:pPr>
            <w:r>
              <w:rPr>
                <w:rFonts w:hint="eastAsia"/>
                <w:lang w:val="en-US" w:eastAsia="zh-CN"/>
              </w:rPr>
              <w:t>1、</w:t>
            </w:r>
            <w:r>
              <w:rPr>
                <w:rFonts w:hint="eastAsia"/>
              </w:rPr>
              <w:t>本产品通过情景模拟、角色实践的方法让学员通过游戏体验现实智慧物流实战的关键点。全班分成8个物流公司，每个公司设经理、业务主管、采购主管、成本主管、仓储主管、运输主管岗位。</w:t>
            </w:r>
          </w:p>
          <w:p w14:paraId="427C456A">
            <w:pPr>
              <w:spacing w:line="360" w:lineRule="exact"/>
              <w:ind w:firstLine="420" w:firstLineChars="200"/>
              <w:rPr>
                <w:rFonts w:hint="eastAsia"/>
              </w:rPr>
            </w:pPr>
            <w:r>
              <w:rPr>
                <w:rFonts w:hint="eastAsia"/>
              </w:rPr>
              <w:t>（1）有多家电子商务物流商，有运输、仓储等职能，能够体现出物流公司经理、业务主管、成本会计、仓储主管、运输主管等主要岗位的角色分工和职责。</w:t>
            </w:r>
          </w:p>
          <w:p w14:paraId="70F43753">
            <w:pPr>
              <w:spacing w:line="360" w:lineRule="exact"/>
              <w:ind w:firstLine="420" w:firstLineChars="200"/>
              <w:rPr>
                <w:rFonts w:hint="eastAsia"/>
              </w:rPr>
            </w:pPr>
            <w:r>
              <w:rPr>
                <w:rFonts w:hint="eastAsia"/>
              </w:rPr>
              <w:t>（2）能够模拟真实物流企业注册设立的过程，包括名称预先核准申请、物流行业的前置许可申请、公司的设立登记、章程的设立、营业执照的申请颁发等。</w:t>
            </w:r>
          </w:p>
          <w:p w14:paraId="247208DB">
            <w:pPr>
              <w:spacing w:line="360" w:lineRule="exact"/>
              <w:ind w:firstLine="420" w:firstLineChars="200"/>
              <w:rPr>
                <w:rFonts w:hint="eastAsia"/>
              </w:rPr>
            </w:pPr>
            <w:r>
              <w:rPr>
                <w:rFonts w:hint="eastAsia"/>
              </w:rPr>
              <w:t>（3）★整个系统能够模拟物流成本核算过程，包括市场调研费、运输保险、铁路运费、海运费、航空运费、卡车运费、货损意外赔付、业务费、财务费用、卡车租赁费、仓库运营费、仓库租赁费等。</w:t>
            </w:r>
          </w:p>
          <w:p w14:paraId="543694A1">
            <w:pPr>
              <w:spacing w:line="360" w:lineRule="exact"/>
              <w:ind w:firstLine="420" w:firstLineChars="200"/>
              <w:rPr>
                <w:rFonts w:hint="eastAsia"/>
              </w:rPr>
            </w:pPr>
            <w:r>
              <w:rPr>
                <w:rFonts w:hint="eastAsia"/>
              </w:rPr>
              <w:t>（4）★其中运输涉及海运、航空、公路运输、铁路运输等不同形式，仓储涉及大型仓、中型仓、小型仓，物流业务涉及普货物流和特种货物（轻泡）物流、国内物流和国际物流业务。</w:t>
            </w:r>
          </w:p>
          <w:p w14:paraId="42FB8C80">
            <w:pPr>
              <w:spacing w:line="360" w:lineRule="exact"/>
              <w:ind w:firstLine="420" w:firstLineChars="200"/>
              <w:rPr>
                <w:rFonts w:hint="eastAsia"/>
              </w:rPr>
            </w:pPr>
            <w:r>
              <w:rPr>
                <w:rFonts w:hint="eastAsia"/>
              </w:rPr>
              <w:t>（5）★4、能够体现物流管理中的风险成本，能够模拟如客户无法支付物流款、国内运输货物毁损、国际航空货物毁损、需求增加需空运等风险。</w:t>
            </w:r>
          </w:p>
          <w:p w14:paraId="34686067">
            <w:pPr>
              <w:spacing w:line="360" w:lineRule="exact"/>
              <w:ind w:firstLine="420" w:firstLineChars="200"/>
              <w:rPr>
                <w:rFonts w:hint="eastAsia"/>
              </w:rPr>
            </w:pPr>
            <w:r>
              <w:rPr>
                <w:rFonts w:hint="eastAsia"/>
              </w:rPr>
              <w:t>（6）★有教学模式与比赛模式2种，在比赛模式中，特别能体现“双11”订单爆棚、卡车租金翻倍、囤货竞争等特有风险。</w:t>
            </w:r>
          </w:p>
          <w:p w14:paraId="4C594E7C">
            <w:pPr>
              <w:spacing w:line="360" w:lineRule="exact"/>
              <w:ind w:firstLine="420" w:firstLineChars="200"/>
              <w:rPr>
                <w:rFonts w:hint="eastAsia"/>
              </w:rPr>
            </w:pPr>
            <w:r>
              <w:rPr>
                <w:rFonts w:hint="eastAsia"/>
              </w:rPr>
              <w:t>（7）系统中每一项决策提交后都可以自动生成一笔单据并自动存储，并可以在软件中查看历史生成的各项单据。</w:t>
            </w:r>
          </w:p>
          <w:p w14:paraId="4F141D78">
            <w:pPr>
              <w:spacing w:line="360" w:lineRule="exact"/>
              <w:ind w:firstLine="420" w:firstLineChars="200"/>
              <w:rPr>
                <w:rFonts w:hint="eastAsia"/>
              </w:rPr>
            </w:pPr>
            <w:r>
              <w:rPr>
                <w:rFonts w:hint="eastAsia"/>
              </w:rPr>
              <w:t>具有满足实验要求的教学课件、学员手册、教学大纲、教学案例等教学资料；其中的知识点能够覆盖运输规划、运输成本核算、运输保险决策、配送中心选址、仓储成本核算、物流成本核算、物流绩效管理等物流理论。</w:t>
            </w:r>
          </w:p>
          <w:p w14:paraId="0E647582">
            <w:pPr>
              <w:spacing w:line="360" w:lineRule="exact"/>
              <w:ind w:firstLine="420" w:firstLineChars="200"/>
              <w:rPr>
                <w:rFonts w:hint="eastAsia"/>
              </w:rPr>
            </w:pPr>
            <w:r>
              <w:rPr>
                <w:rFonts w:hint="eastAsia"/>
              </w:rPr>
              <w:t>2、实训课程达到的教学目的</w:t>
            </w:r>
          </w:p>
          <w:p w14:paraId="6499E534">
            <w:pPr>
              <w:spacing w:line="360" w:lineRule="exact"/>
              <w:ind w:firstLine="420" w:firstLineChars="200"/>
              <w:rPr>
                <w:rFonts w:hint="eastAsia"/>
              </w:rPr>
            </w:pPr>
            <w:r>
              <w:rPr>
                <w:rFonts w:hint="eastAsia"/>
              </w:rPr>
              <w:t>能掌握公司设立的主要流程</w:t>
            </w:r>
          </w:p>
          <w:p w14:paraId="64C3BA9A">
            <w:pPr>
              <w:spacing w:line="360" w:lineRule="exact"/>
              <w:ind w:firstLine="420" w:firstLineChars="200"/>
              <w:rPr>
                <w:rFonts w:hint="eastAsia"/>
              </w:rPr>
            </w:pPr>
            <w:r>
              <w:rPr>
                <w:rFonts w:hint="eastAsia"/>
              </w:rPr>
              <w:t>能掌握物流公司经营需拿到的相关许可</w:t>
            </w:r>
          </w:p>
          <w:p w14:paraId="0265A8BD">
            <w:pPr>
              <w:spacing w:line="360" w:lineRule="exact"/>
              <w:ind w:firstLine="420" w:firstLineChars="200"/>
              <w:rPr>
                <w:rFonts w:hint="eastAsia"/>
              </w:rPr>
            </w:pPr>
            <w:r>
              <w:rPr>
                <w:rFonts w:hint="eastAsia"/>
              </w:rPr>
              <w:t>能对第三方物流企业进行市场调研与需求分析、竞争环境分析报告</w:t>
            </w:r>
          </w:p>
          <w:p w14:paraId="3578272D">
            <w:pPr>
              <w:spacing w:line="360" w:lineRule="exact"/>
              <w:ind w:firstLine="420" w:firstLineChars="200"/>
              <w:rPr>
                <w:rFonts w:hint="eastAsia"/>
              </w:rPr>
            </w:pPr>
            <w:r>
              <w:rPr>
                <w:rFonts w:hint="eastAsia"/>
              </w:rPr>
              <w:t>能做出营销效果评价报告</w:t>
            </w:r>
          </w:p>
          <w:p w14:paraId="4495C8D3">
            <w:pPr>
              <w:spacing w:line="360" w:lineRule="exact"/>
              <w:ind w:firstLine="420" w:firstLineChars="200"/>
              <w:rPr>
                <w:rFonts w:hint="eastAsia"/>
              </w:rPr>
            </w:pPr>
            <w:r>
              <w:rPr>
                <w:rFonts w:hint="eastAsia"/>
              </w:rPr>
              <w:t>能够做出物流设备利用状况分析报告</w:t>
            </w:r>
          </w:p>
          <w:p w14:paraId="291DC916">
            <w:pPr>
              <w:spacing w:line="360" w:lineRule="exact"/>
              <w:ind w:firstLine="420" w:firstLineChars="200"/>
              <w:rPr>
                <w:rFonts w:hint="eastAsia"/>
              </w:rPr>
            </w:pPr>
            <w:r>
              <w:rPr>
                <w:rFonts w:hint="eastAsia"/>
              </w:rPr>
              <w:t>能对物流设备投资决策总结</w:t>
            </w:r>
          </w:p>
          <w:p w14:paraId="5FCF2260">
            <w:pPr>
              <w:spacing w:line="360" w:lineRule="exact"/>
              <w:ind w:firstLine="420" w:firstLineChars="200"/>
              <w:rPr>
                <w:rFonts w:hint="eastAsia"/>
              </w:rPr>
            </w:pPr>
            <w:r>
              <w:rPr>
                <w:rFonts w:hint="eastAsia"/>
              </w:rPr>
              <w:t>能够对仓储中心布局方案与评估报告</w:t>
            </w:r>
          </w:p>
          <w:p w14:paraId="10E4BE76">
            <w:pPr>
              <w:spacing w:line="360" w:lineRule="exact"/>
              <w:ind w:firstLine="420" w:firstLineChars="200"/>
              <w:rPr>
                <w:rFonts w:hint="eastAsia"/>
              </w:rPr>
            </w:pPr>
            <w:r>
              <w:rPr>
                <w:rFonts w:hint="eastAsia"/>
              </w:rPr>
              <w:t>能对仓储运营绩效做出总结</w:t>
            </w:r>
          </w:p>
          <w:p w14:paraId="28CB5C38">
            <w:pPr>
              <w:spacing w:line="360" w:lineRule="exact"/>
              <w:ind w:firstLine="420" w:firstLineChars="200"/>
              <w:rPr>
                <w:rFonts w:hint="eastAsia"/>
              </w:rPr>
            </w:pPr>
            <w:r>
              <w:rPr>
                <w:rFonts w:hint="eastAsia"/>
              </w:rPr>
              <w:t>掌握运输线路优化的方法</w:t>
            </w:r>
          </w:p>
          <w:p w14:paraId="608B5480">
            <w:pPr>
              <w:spacing w:line="360" w:lineRule="exact"/>
              <w:ind w:firstLine="420" w:firstLineChars="200"/>
              <w:rPr>
                <w:rFonts w:hint="eastAsia"/>
              </w:rPr>
            </w:pPr>
            <w:r>
              <w:rPr>
                <w:rFonts w:hint="eastAsia"/>
              </w:rPr>
              <w:t>能够做出运营绩效评估报告</w:t>
            </w:r>
          </w:p>
          <w:p w14:paraId="091C50F4">
            <w:pPr>
              <w:spacing w:line="360" w:lineRule="exact"/>
              <w:ind w:firstLine="420" w:firstLineChars="200"/>
              <w:rPr>
                <w:rFonts w:hint="eastAsia"/>
              </w:rPr>
            </w:pPr>
            <w:r>
              <w:rPr>
                <w:rFonts w:hint="eastAsia"/>
              </w:rPr>
              <w:t>能够进行物流成本分析并改进方案</w:t>
            </w:r>
          </w:p>
          <w:p w14:paraId="0B27E1B9">
            <w:pPr>
              <w:spacing w:line="360" w:lineRule="exact"/>
              <w:ind w:firstLine="420" w:firstLineChars="200"/>
              <w:rPr>
                <w:rFonts w:hint="eastAsia"/>
              </w:rPr>
            </w:pPr>
            <w:r>
              <w:rPr>
                <w:rFonts w:hint="eastAsia"/>
              </w:rPr>
              <w:t>做出风险管理计划</w:t>
            </w:r>
          </w:p>
          <w:p w14:paraId="659DF6FC">
            <w:pPr>
              <w:spacing w:line="360" w:lineRule="exact"/>
              <w:ind w:firstLine="420" w:firstLineChars="200"/>
              <w:rPr>
                <w:rFonts w:hint="eastAsia"/>
              </w:rPr>
            </w:pPr>
            <w:r>
              <w:rPr>
                <w:rFonts w:hint="eastAsia"/>
              </w:rPr>
              <w:t>3、实训课程的授课方式</w:t>
            </w:r>
          </w:p>
          <w:p w14:paraId="18CF0457">
            <w:pPr>
              <w:spacing w:line="360" w:lineRule="exact"/>
              <w:ind w:firstLine="420" w:firstLineChars="200"/>
              <w:rPr>
                <w:rFonts w:hint="eastAsia"/>
              </w:rPr>
            </w:pPr>
            <w:r>
              <w:rPr>
                <w:rFonts w:hint="eastAsia"/>
              </w:rPr>
              <w:t>一般是连续2-4天的实训课，适合一个班约50-70人同时上课。</w:t>
            </w:r>
          </w:p>
          <w:p w14:paraId="30965A7B">
            <w:pPr>
              <w:spacing w:line="360" w:lineRule="exact"/>
              <w:ind w:firstLine="420" w:firstLineChars="200"/>
              <w:rPr>
                <w:rFonts w:hint="eastAsia"/>
              </w:rPr>
            </w:pPr>
            <w:r>
              <w:rPr>
                <w:rFonts w:hint="eastAsia"/>
              </w:rPr>
              <w:t>可以作为专业认识实验课在大一、大二开设</w:t>
            </w:r>
          </w:p>
          <w:p w14:paraId="4CBD462A">
            <w:pPr>
              <w:spacing w:line="360" w:lineRule="exact"/>
              <w:ind w:firstLine="420" w:firstLineChars="200"/>
              <w:rPr>
                <w:rFonts w:hint="eastAsia"/>
              </w:rPr>
            </w:pPr>
            <w:r>
              <w:rPr>
                <w:rFonts w:hint="eastAsia"/>
              </w:rPr>
              <w:t>可以作为课程实验，在《物流管理》课程结束时作为1或2学分实验课开设</w:t>
            </w:r>
          </w:p>
          <w:p w14:paraId="603A566E">
            <w:pPr>
              <w:spacing w:line="360" w:lineRule="exact"/>
              <w:ind w:firstLine="420" w:firstLineChars="200"/>
              <w:rPr>
                <w:rFonts w:hint="eastAsia"/>
              </w:rPr>
            </w:pPr>
            <w:r>
              <w:rPr>
                <w:rFonts w:hint="eastAsia"/>
              </w:rPr>
              <w:t>可以作为专业毕业实训，在大四开设</w:t>
            </w:r>
          </w:p>
          <w:p w14:paraId="58BEF003">
            <w:pPr>
              <w:spacing w:line="360" w:lineRule="exact"/>
              <w:ind w:firstLine="420" w:firstLineChars="200"/>
              <w:rPr>
                <w:rFonts w:hint="eastAsia"/>
              </w:rPr>
            </w:pPr>
            <w:r>
              <w:rPr>
                <w:rFonts w:hint="eastAsia"/>
              </w:rPr>
              <w:t>可以作为校内或校际竞赛，在学生活动中开展</w:t>
            </w:r>
          </w:p>
          <w:p w14:paraId="5A4BFE86">
            <w:pPr>
              <w:spacing w:line="360" w:lineRule="exact"/>
              <w:ind w:firstLine="420" w:firstLineChars="200"/>
              <w:rPr>
                <w:rFonts w:hint="eastAsia"/>
              </w:rPr>
            </w:pPr>
            <w:r>
              <w:rPr>
                <w:rFonts w:hint="eastAsia"/>
              </w:rPr>
              <w:t>4、实训涉及的基础课程</w:t>
            </w:r>
          </w:p>
          <w:p w14:paraId="7E5A3211">
            <w:pPr>
              <w:spacing w:line="360" w:lineRule="exact"/>
              <w:ind w:firstLine="420" w:firstLineChars="200"/>
              <w:rPr>
                <w:rFonts w:hint="eastAsia"/>
              </w:rPr>
            </w:pPr>
            <w:r>
              <w:rPr>
                <w:rFonts w:hint="eastAsia"/>
              </w:rPr>
              <w:t>《物流管理》</w:t>
            </w:r>
          </w:p>
          <w:p w14:paraId="157994A6">
            <w:pPr>
              <w:spacing w:line="360" w:lineRule="exact"/>
              <w:ind w:firstLine="420" w:firstLineChars="200"/>
              <w:rPr>
                <w:rFonts w:hint="eastAsia"/>
              </w:rPr>
            </w:pPr>
            <w:r>
              <w:rPr>
                <w:rFonts w:hint="eastAsia"/>
                <w:lang w:val="en-US" w:eastAsia="zh-CN"/>
              </w:rPr>
              <w:t>5、</w:t>
            </w:r>
            <w:r>
              <w:rPr>
                <w:rFonts w:hint="eastAsia"/>
              </w:rPr>
              <w:t>课程内容与实训概述</w:t>
            </w:r>
          </w:p>
          <w:p w14:paraId="77F51ABB">
            <w:pPr>
              <w:spacing w:line="360" w:lineRule="exact"/>
              <w:ind w:firstLine="420" w:firstLineChars="200"/>
              <w:rPr>
                <w:rFonts w:hint="eastAsia"/>
              </w:rPr>
            </w:pPr>
            <w:r>
              <w:rPr>
                <w:rFonts w:hint="eastAsia"/>
              </w:rPr>
              <w:t>本次实训内容与项目涵盖七大单元，包括：</w:t>
            </w:r>
          </w:p>
          <w:p w14:paraId="58146312">
            <w:pPr>
              <w:spacing w:line="360" w:lineRule="exact"/>
              <w:ind w:firstLine="420" w:firstLineChars="200"/>
              <w:rPr>
                <w:rFonts w:hint="eastAsia"/>
              </w:rPr>
            </w:pPr>
            <w:r>
              <w:rPr>
                <w:rFonts w:hint="eastAsia"/>
              </w:rPr>
              <w:t>物流公司设立实验</w:t>
            </w:r>
          </w:p>
          <w:p w14:paraId="5A8CDB35">
            <w:pPr>
              <w:spacing w:line="360" w:lineRule="exact"/>
              <w:ind w:firstLine="420" w:firstLineChars="200"/>
              <w:rPr>
                <w:rFonts w:hint="eastAsia"/>
              </w:rPr>
            </w:pPr>
            <w:r>
              <w:rPr>
                <w:rFonts w:hint="eastAsia"/>
              </w:rPr>
              <w:t xml:space="preserve">物流营销与客户管理实验 </w:t>
            </w:r>
          </w:p>
          <w:p w14:paraId="5EF4153C">
            <w:pPr>
              <w:spacing w:line="360" w:lineRule="exact"/>
              <w:ind w:firstLine="420" w:firstLineChars="200"/>
              <w:rPr>
                <w:rFonts w:hint="eastAsia"/>
              </w:rPr>
            </w:pPr>
            <w:r>
              <w:rPr>
                <w:rFonts w:hint="eastAsia"/>
              </w:rPr>
              <w:t xml:space="preserve">物流设施设备管理实验 </w:t>
            </w:r>
          </w:p>
          <w:p w14:paraId="062F88B2">
            <w:pPr>
              <w:spacing w:line="360" w:lineRule="exact"/>
              <w:ind w:firstLine="420" w:firstLineChars="200"/>
              <w:rPr>
                <w:rFonts w:hint="eastAsia"/>
              </w:rPr>
            </w:pPr>
            <w:r>
              <w:rPr>
                <w:rFonts w:hint="eastAsia"/>
              </w:rPr>
              <w:t xml:space="preserve">仓储业务管理实验 </w:t>
            </w:r>
          </w:p>
          <w:p w14:paraId="2CB5A865">
            <w:pPr>
              <w:spacing w:line="360" w:lineRule="exact"/>
              <w:ind w:firstLine="420" w:firstLineChars="200"/>
              <w:rPr>
                <w:rFonts w:hint="eastAsia"/>
              </w:rPr>
            </w:pPr>
            <w:r>
              <w:rPr>
                <w:rFonts w:hint="eastAsia"/>
              </w:rPr>
              <w:t xml:space="preserve">运输业务管理实验 </w:t>
            </w:r>
          </w:p>
          <w:p w14:paraId="2E95088E">
            <w:pPr>
              <w:spacing w:line="360" w:lineRule="exact"/>
              <w:ind w:firstLine="420" w:firstLineChars="200"/>
              <w:rPr>
                <w:rFonts w:hint="eastAsia"/>
              </w:rPr>
            </w:pPr>
            <w:r>
              <w:rPr>
                <w:rFonts w:hint="eastAsia"/>
              </w:rPr>
              <w:t xml:space="preserve">物流成本管理实验 </w:t>
            </w:r>
          </w:p>
          <w:p w14:paraId="76CB091E">
            <w:pPr>
              <w:spacing w:line="360" w:lineRule="exact"/>
              <w:ind w:firstLine="630" w:firstLineChars="300"/>
              <w:rPr>
                <w:rFonts w:hint="eastAsia"/>
              </w:rPr>
            </w:pPr>
            <w:r>
              <w:rPr>
                <w:rFonts w:hint="eastAsia"/>
              </w:rPr>
              <w:t>物流风险管理实验</w:t>
            </w:r>
          </w:p>
        </w:tc>
      </w:tr>
      <w:tr w14:paraId="24C531A4">
        <w:tblPrEx>
          <w:tblCellMar>
            <w:top w:w="0" w:type="dxa"/>
            <w:left w:w="108" w:type="dxa"/>
            <w:bottom w:w="0" w:type="dxa"/>
            <w:right w:w="108" w:type="dxa"/>
          </w:tblCellMar>
        </w:tblPrEx>
        <w:trPr>
          <w:trHeight w:val="1441" w:hRule="atLeast"/>
        </w:trPr>
        <w:tc>
          <w:tcPr>
            <w:tcW w:w="2277" w:type="dxa"/>
            <w:tcBorders>
              <w:top w:val="single" w:color="auto" w:sz="4" w:space="0"/>
              <w:left w:val="single" w:color="auto" w:sz="4" w:space="0"/>
              <w:bottom w:val="single" w:color="auto" w:sz="4" w:space="0"/>
              <w:right w:val="single" w:color="auto" w:sz="4" w:space="0"/>
            </w:tcBorders>
            <w:noWrap/>
            <w:vAlign w:val="center"/>
          </w:tcPr>
          <w:p w14:paraId="43563A0A">
            <w:pPr>
              <w:widowControl/>
              <w:jc w:val="center"/>
              <w:rPr>
                <w:rFonts w:ascii="宋体" w:cs="宋体"/>
                <w:kern w:val="0"/>
                <w:sz w:val="24"/>
              </w:rPr>
            </w:pPr>
            <w:r>
              <w:rPr>
                <w:rFonts w:hint="eastAsia" w:ascii="宋体" w:hAnsi="宋体" w:cs="宋体"/>
                <w:kern w:val="0"/>
                <w:sz w:val="24"/>
              </w:rPr>
              <w:t>资金测算过程</w:t>
            </w:r>
          </w:p>
          <w:p w14:paraId="07B122B9">
            <w:pPr>
              <w:widowControl/>
              <w:ind w:firstLine="240" w:firstLineChars="100"/>
              <w:jc w:val="left"/>
              <w:rPr>
                <w:rFonts w:ascii="宋体" w:cs="宋体"/>
                <w:kern w:val="0"/>
                <w:sz w:val="24"/>
              </w:rPr>
            </w:pPr>
            <w:r>
              <w:rPr>
                <w:rFonts w:hint="eastAsia" w:ascii="宋体" w:hAnsi="宋体" w:cs="宋体"/>
                <w:kern w:val="0"/>
                <w:sz w:val="24"/>
              </w:rPr>
              <w:t>（不少于</w:t>
            </w:r>
            <w:r>
              <w:rPr>
                <w:rFonts w:ascii="宋体" w:hAnsi="宋体" w:cs="宋体"/>
                <w:kern w:val="0"/>
                <w:sz w:val="24"/>
              </w:rPr>
              <w:t>200</w:t>
            </w:r>
            <w:r>
              <w:rPr>
                <w:rFonts w:hint="eastAsia" w:ascii="宋体" w:hAnsi="宋体" w:cs="宋体"/>
                <w:kern w:val="0"/>
                <w:sz w:val="24"/>
              </w:rPr>
              <w:t>字）</w:t>
            </w:r>
          </w:p>
        </w:tc>
        <w:tc>
          <w:tcPr>
            <w:tcW w:w="6139" w:type="dxa"/>
            <w:gridSpan w:val="3"/>
            <w:tcBorders>
              <w:top w:val="single" w:color="auto" w:sz="4" w:space="0"/>
              <w:left w:val="nil"/>
              <w:bottom w:val="single" w:color="auto" w:sz="4" w:space="0"/>
              <w:right w:val="single" w:color="auto" w:sz="4" w:space="0"/>
            </w:tcBorders>
            <w:noWrap/>
            <w:vAlign w:val="center"/>
          </w:tcPr>
          <w:p w14:paraId="3E296C12">
            <w:pPr>
              <w:spacing w:line="360" w:lineRule="exact"/>
              <w:ind w:firstLine="420" w:firstLineChars="200"/>
              <w:rPr>
                <w:rFonts w:hint="eastAsia"/>
              </w:rPr>
            </w:pPr>
            <w:r>
              <w:rPr>
                <w:rFonts w:hint="eastAsia"/>
              </w:rPr>
              <w:t>为建设好智慧物流实验室（智慧物流决策仿真系统）项目，充分发挥智慧物流、</w:t>
            </w:r>
            <w:r>
              <w:rPr>
                <w:rFonts w:hint="eastAsia"/>
                <w:lang w:eastAsia="zh-CN"/>
              </w:rPr>
              <w:t>数据决策</w:t>
            </w:r>
            <w:r>
              <w:rPr>
                <w:rFonts w:hint="eastAsia"/>
              </w:rPr>
              <w:t>的引领作用，更好地适应当前物流相关专业实验教学的蓬勃发展，深化数据分析与教学实践相融合。前期进行了充分的考察调研，与成都杰科力科技进行多次沟通，同时也参考前期相关实训室采购信息。充分考虑了资源共享和不重复建设因素，以及后续拓展编制预算。本次拟建设智慧物流实验室（智慧物流决策仿真系统）</w:t>
            </w:r>
            <w:r>
              <w:rPr>
                <w:rFonts w:hint="eastAsia"/>
                <w:lang w:eastAsia="zh-CN"/>
              </w:rPr>
              <w:t>项目</w:t>
            </w:r>
            <w:r>
              <w:rPr>
                <w:rFonts w:hint="eastAsia"/>
              </w:rPr>
              <w:t>，</w:t>
            </w:r>
            <w:r>
              <w:rPr>
                <w:rFonts w:hint="eastAsia"/>
                <w:lang w:eastAsia="zh-CN"/>
              </w:rPr>
              <w:t>仅需要采购智慧物流实验室（智慧物流决策仿真系统）</w:t>
            </w:r>
            <w:r>
              <w:rPr>
                <w:rFonts w:hint="eastAsia"/>
              </w:rPr>
              <w:t>1套，</w:t>
            </w:r>
            <w:r>
              <w:rPr>
                <w:rFonts w:hint="eastAsia"/>
                <w:lang w:eastAsia="zh-CN"/>
              </w:rPr>
              <w:t>实验室桌椅、</w:t>
            </w:r>
            <w:r>
              <w:rPr>
                <w:rFonts w:hint="eastAsia"/>
              </w:rPr>
              <w:t>投影仪</w:t>
            </w:r>
            <w:r>
              <w:rPr>
                <w:rFonts w:hint="eastAsia"/>
                <w:lang w:eastAsia="zh-CN"/>
              </w:rPr>
              <w:t>、电脑等设备</w:t>
            </w:r>
            <w:r>
              <w:rPr>
                <w:rFonts w:hint="eastAsia"/>
              </w:rPr>
              <w:t>可直接利用现有机房设施设备。</w:t>
            </w:r>
          </w:p>
          <w:p w14:paraId="33180CF9">
            <w:pPr>
              <w:spacing w:line="360" w:lineRule="exact"/>
              <w:ind w:firstLine="420" w:firstLineChars="200"/>
              <w:rPr>
                <w:rFonts w:hint="eastAsia"/>
              </w:rPr>
            </w:pPr>
            <w:r>
              <w:rPr>
                <w:rFonts w:hint="eastAsia"/>
              </w:rPr>
              <w:t>由于现有实验室已具备服务器、学生电脑、沙盘桌子、投影仪等硬件可不用再采购，只需采购</w:t>
            </w:r>
            <w:r>
              <w:rPr>
                <w:rFonts w:hint="eastAsia"/>
                <w:lang w:eastAsia="zh-CN"/>
              </w:rPr>
              <w:t>智慧物流实验室（智慧物流决策仿真系统）</w:t>
            </w:r>
            <w:r>
              <w:rPr>
                <w:rFonts w:hint="eastAsia"/>
              </w:rPr>
              <w:t>预算</w:t>
            </w:r>
            <w:r>
              <w:rPr>
                <w:rFonts w:hint="eastAsia"/>
                <w:lang w:val="en-US" w:eastAsia="zh-CN"/>
              </w:rPr>
              <w:t>XX</w:t>
            </w:r>
            <w:r>
              <w:rPr>
                <w:rFonts w:hint="eastAsia"/>
              </w:rPr>
              <w:t>万元，包括教学资料、软件、完善的售后服务。</w:t>
            </w:r>
          </w:p>
          <w:p w14:paraId="51083365">
            <w:pPr>
              <w:pStyle w:val="2"/>
              <w:rPr>
                <w:rFonts w:hint="eastAsia"/>
                <w:lang w:val="en-US" w:eastAsia="zh-CN"/>
              </w:rPr>
            </w:pPr>
            <w:r>
              <w:rPr>
                <w:rFonts w:hint="eastAsia"/>
                <w:lang w:val="en-US" w:eastAsia="zh-CN"/>
              </w:rPr>
              <w:t>市场调研</w:t>
            </w:r>
          </w:p>
          <w:p w14:paraId="0B57B545">
            <w:pPr>
              <w:spacing w:line="360" w:lineRule="exact"/>
              <w:ind w:firstLine="420" w:firstLineChars="200"/>
              <w:rPr>
                <w:rFonts w:hint="eastAsia" w:cs="Times New Roman"/>
              </w:rPr>
            </w:pPr>
            <w:r>
              <w:rPr>
                <w:rFonts w:hint="eastAsia" w:cs="Times New Roman"/>
              </w:rPr>
              <w:t>选型理由：</w:t>
            </w:r>
            <w:r>
              <w:rPr>
                <w:rFonts w:hint="eastAsia" w:cs="Times New Roman"/>
                <w:lang w:eastAsia="zh-CN"/>
              </w:rPr>
              <w:t>（</w:t>
            </w:r>
            <w:r>
              <w:rPr>
                <w:rFonts w:hint="eastAsia" w:cs="Times New Roman"/>
                <w:lang w:val="en-US" w:eastAsia="zh-CN"/>
              </w:rPr>
              <w:t>1）</w:t>
            </w:r>
            <w:r>
              <w:rPr>
                <w:rFonts w:hint="eastAsia" w:cs="Times New Roman"/>
              </w:rPr>
              <w:t>在选购情况调查的基础上论述选择产品的选型理由。</w:t>
            </w:r>
            <w:r>
              <w:rPr>
                <w:rFonts w:hint="eastAsia" w:cs="Times New Roman"/>
                <w:lang w:eastAsia="zh-CN"/>
              </w:rPr>
              <w:t>（</w:t>
            </w:r>
            <w:r>
              <w:rPr>
                <w:rFonts w:hint="eastAsia" w:cs="Times New Roman"/>
                <w:lang w:val="en-US" w:eastAsia="zh-CN"/>
              </w:rPr>
              <w:t>2）</w:t>
            </w:r>
            <w:r>
              <w:rPr>
                <w:rFonts w:hint="eastAsia" w:cs="Times New Roman"/>
              </w:rPr>
              <w:t>三家厂商以上</w:t>
            </w:r>
            <w:r>
              <w:rPr>
                <w:rFonts w:hint="eastAsia" w:cs="Times New Roman"/>
                <w:lang w:val="en-US" w:eastAsia="zh-CN"/>
              </w:rPr>
              <w:t>主要功能</w:t>
            </w:r>
            <w:r>
              <w:rPr>
                <w:rFonts w:hint="eastAsia" w:cs="Times New Roman"/>
              </w:rPr>
              <w:t>及厂商代理商售后服务基本情况（独家经营及生产的产品请特别说明）</w:t>
            </w:r>
          </w:p>
          <w:tbl>
            <w:tblPr>
              <w:tblStyle w:val="13"/>
              <w:tblW w:w="5639"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024"/>
              <w:gridCol w:w="1418"/>
              <w:gridCol w:w="1418"/>
              <w:gridCol w:w="1779"/>
            </w:tblGrid>
            <w:tr w14:paraId="72D7405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25" w:hRule="atLeast"/>
                <w:jc w:val="center"/>
              </w:trPr>
              <w:tc>
                <w:tcPr>
                  <w:tcW w:w="1024" w:type="dxa"/>
                  <w:tcBorders>
                    <w:top w:val="single" w:color="auto" w:sz="4" w:space="0"/>
                    <w:left w:val="single" w:color="auto" w:sz="4" w:space="0"/>
                    <w:bottom w:val="single" w:color="auto" w:sz="4" w:space="0"/>
                    <w:right w:val="single" w:color="auto" w:sz="4" w:space="0"/>
                  </w:tcBorders>
                  <w:noWrap w:val="0"/>
                  <w:vAlign w:val="top"/>
                </w:tcPr>
                <w:p w14:paraId="41FA2E2E">
                  <w:pPr>
                    <w:spacing w:line="90" w:lineRule="atLeast"/>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软件品牌</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0842E449">
                  <w:pPr>
                    <w:jc w:val="center"/>
                    <w:rPr>
                      <w:rFonts w:hint="eastAsia" w:ascii="宋体" w:hAnsi="宋体" w:eastAsia="宋体" w:cs="宋体"/>
                      <w:b/>
                      <w:bCs/>
                      <w:sz w:val="18"/>
                      <w:szCs w:val="18"/>
                    </w:rPr>
                  </w:pPr>
                  <w:r>
                    <w:rPr>
                      <w:rFonts w:hint="eastAsia" w:ascii="宋体" w:hAnsi="宋体" w:eastAsia="宋体" w:cs="宋体"/>
                      <w:b/>
                      <w:bCs/>
                      <w:sz w:val="18"/>
                      <w:szCs w:val="18"/>
                    </w:rPr>
                    <w:t>杰科力</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5D328D3E">
                  <w:pPr>
                    <w:jc w:val="center"/>
                    <w:rPr>
                      <w:rFonts w:hint="eastAsia" w:ascii="宋体" w:hAnsi="宋体" w:eastAsia="宋体" w:cs="宋体"/>
                      <w:b/>
                      <w:bCs/>
                      <w:sz w:val="18"/>
                      <w:szCs w:val="18"/>
                    </w:rPr>
                  </w:pPr>
                  <w:r>
                    <w:rPr>
                      <w:rFonts w:hint="eastAsia" w:ascii="宋体" w:hAnsi="宋体" w:eastAsia="宋体" w:cs="宋体"/>
                      <w:b/>
                      <w:bCs/>
                      <w:sz w:val="18"/>
                      <w:szCs w:val="18"/>
                    </w:rPr>
                    <w:t>大成弘毅</w:t>
                  </w:r>
                </w:p>
              </w:tc>
              <w:tc>
                <w:tcPr>
                  <w:tcW w:w="1779" w:type="dxa"/>
                  <w:tcBorders>
                    <w:top w:val="single" w:color="auto" w:sz="4" w:space="0"/>
                    <w:left w:val="single" w:color="auto" w:sz="4" w:space="0"/>
                    <w:bottom w:val="single" w:color="auto" w:sz="4" w:space="0"/>
                    <w:right w:val="single" w:color="auto" w:sz="4" w:space="0"/>
                  </w:tcBorders>
                  <w:noWrap w:val="0"/>
                  <w:vAlign w:val="center"/>
                </w:tcPr>
                <w:p w14:paraId="1C20E60E">
                  <w:pPr>
                    <w:jc w:val="center"/>
                    <w:rPr>
                      <w:rFonts w:hint="eastAsia" w:ascii="宋体" w:hAnsi="宋体" w:eastAsia="宋体" w:cs="宋体"/>
                      <w:b/>
                      <w:bCs/>
                      <w:sz w:val="18"/>
                      <w:szCs w:val="18"/>
                      <w:lang w:eastAsia="zh-CN"/>
                    </w:rPr>
                  </w:pPr>
                  <w:r>
                    <w:rPr>
                      <w:rFonts w:hint="eastAsia" w:ascii="宋体" w:hAnsi="宋体" w:eastAsia="宋体" w:cs="宋体"/>
                      <w:b/>
                      <w:bCs/>
                      <w:sz w:val="18"/>
                      <w:szCs w:val="18"/>
                      <w:lang w:val="en-US" w:eastAsia="zh-CN"/>
                    </w:rPr>
                    <w:t>慕课</w:t>
                  </w:r>
                </w:p>
              </w:tc>
            </w:tr>
            <w:tr w14:paraId="29EDA99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239" w:hRule="atLeast"/>
                <w:jc w:val="center"/>
              </w:trPr>
              <w:tc>
                <w:tcPr>
                  <w:tcW w:w="1024" w:type="dxa"/>
                  <w:tcBorders>
                    <w:top w:val="single" w:color="auto" w:sz="4" w:space="0"/>
                    <w:left w:val="single" w:color="auto" w:sz="4" w:space="0"/>
                    <w:bottom w:val="single" w:color="auto" w:sz="4" w:space="0"/>
                    <w:right w:val="single" w:color="auto" w:sz="4" w:space="0"/>
                  </w:tcBorders>
                  <w:noWrap w:val="0"/>
                  <w:vAlign w:val="top"/>
                </w:tcPr>
                <w:p w14:paraId="2C12F05C">
                  <w:pPr>
                    <w:spacing w:line="90" w:lineRule="atLeast"/>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型号规格</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7BF8264C">
                  <w:pPr>
                    <w:rPr>
                      <w:rFonts w:hint="eastAsia" w:ascii="宋体" w:hAnsi="宋体" w:eastAsia="宋体" w:cs="宋体"/>
                      <w:sz w:val="18"/>
                      <w:szCs w:val="18"/>
                    </w:rPr>
                  </w:pPr>
                  <w:r>
                    <w:rPr>
                      <w:rFonts w:hint="eastAsia" w:ascii="宋体" w:hAnsi="宋体" w:eastAsia="宋体" w:cs="宋体"/>
                      <w:sz w:val="18"/>
                      <w:szCs w:val="18"/>
                      <w:lang w:val="en-US" w:eastAsia="zh-CN"/>
                    </w:rPr>
                    <w:t>智慧物流决策仿真实验（V2.2）</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712093F2">
                  <w:pPr>
                    <w:rPr>
                      <w:rFonts w:hint="eastAsia" w:ascii="宋体" w:hAnsi="宋体" w:eastAsia="宋体" w:cs="宋体"/>
                      <w:sz w:val="18"/>
                      <w:szCs w:val="18"/>
                    </w:rPr>
                  </w:pPr>
                  <w:r>
                    <w:rPr>
                      <w:rFonts w:hint="eastAsia" w:ascii="宋体" w:hAnsi="宋体" w:eastAsia="宋体" w:cs="宋体"/>
                      <w:sz w:val="18"/>
                      <w:szCs w:val="18"/>
                      <w:lang w:val="en-US" w:eastAsia="zh-CN"/>
                    </w:rPr>
                    <w:t>物流</w:t>
                  </w:r>
                  <w:r>
                    <w:rPr>
                      <w:rFonts w:hint="eastAsia" w:ascii="宋体" w:hAnsi="宋体" w:eastAsia="宋体" w:cs="宋体"/>
                      <w:sz w:val="18"/>
                      <w:szCs w:val="18"/>
                    </w:rPr>
                    <w:t>模拟经营沙盘 (无统一型号规格)</w:t>
                  </w:r>
                </w:p>
              </w:tc>
              <w:tc>
                <w:tcPr>
                  <w:tcW w:w="1779" w:type="dxa"/>
                  <w:tcBorders>
                    <w:top w:val="single" w:color="auto" w:sz="4" w:space="0"/>
                    <w:left w:val="single" w:color="auto" w:sz="4" w:space="0"/>
                    <w:bottom w:val="single" w:color="auto" w:sz="4" w:space="0"/>
                    <w:right w:val="single" w:color="auto" w:sz="4" w:space="0"/>
                  </w:tcBorders>
                  <w:noWrap w:val="0"/>
                  <w:vAlign w:val="center"/>
                </w:tcPr>
                <w:p w14:paraId="146FEB4D">
                  <w:pPr>
                    <w:rPr>
                      <w:rFonts w:hint="eastAsia" w:ascii="宋体" w:hAnsi="宋体" w:eastAsia="宋体" w:cs="宋体"/>
                      <w:sz w:val="18"/>
                      <w:szCs w:val="18"/>
                    </w:rPr>
                  </w:pPr>
                  <w:r>
                    <w:rPr>
                      <w:rFonts w:hint="eastAsia" w:ascii="宋体" w:hAnsi="宋体" w:eastAsia="宋体" w:cs="宋体"/>
                      <w:sz w:val="18"/>
                      <w:szCs w:val="18"/>
                      <w:lang w:val="en-US" w:eastAsia="zh-CN"/>
                    </w:rPr>
                    <w:t>电商物流</w:t>
                  </w:r>
                  <w:r>
                    <w:rPr>
                      <w:rFonts w:hint="eastAsia" w:ascii="宋体" w:hAnsi="宋体" w:eastAsia="宋体" w:cs="宋体"/>
                      <w:sz w:val="18"/>
                      <w:szCs w:val="18"/>
                    </w:rPr>
                    <w:t>实验系统(无统一型号规格)</w:t>
                  </w:r>
                </w:p>
              </w:tc>
            </w:tr>
            <w:tr w14:paraId="081FA90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024" w:type="dxa"/>
                  <w:tcBorders>
                    <w:top w:val="single" w:color="auto" w:sz="4" w:space="0"/>
                    <w:left w:val="single" w:color="auto" w:sz="4" w:space="0"/>
                    <w:bottom w:val="single" w:color="auto" w:sz="4" w:space="0"/>
                    <w:right w:val="single" w:color="auto" w:sz="4" w:space="0"/>
                  </w:tcBorders>
                  <w:noWrap w:val="0"/>
                  <w:vAlign w:val="top"/>
                </w:tcPr>
                <w:p w14:paraId="7B65D63E">
                  <w:pPr>
                    <w:spacing w:line="90" w:lineRule="atLeast"/>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国别</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539FAB9F">
                  <w:pPr>
                    <w:rPr>
                      <w:rFonts w:hint="eastAsia" w:ascii="宋体" w:hAnsi="宋体" w:eastAsia="宋体" w:cs="宋体"/>
                      <w:sz w:val="18"/>
                      <w:szCs w:val="18"/>
                    </w:rPr>
                  </w:pPr>
                  <w:r>
                    <w:rPr>
                      <w:rFonts w:hint="eastAsia" w:ascii="宋体" w:hAnsi="宋体" w:eastAsia="宋体" w:cs="宋体"/>
                      <w:sz w:val="18"/>
                      <w:szCs w:val="18"/>
                    </w:rPr>
                    <w:t> 中国</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40A7E4ED">
                  <w:pPr>
                    <w:rPr>
                      <w:rFonts w:hint="eastAsia" w:ascii="宋体" w:hAnsi="宋体" w:eastAsia="宋体" w:cs="宋体"/>
                      <w:sz w:val="18"/>
                      <w:szCs w:val="18"/>
                    </w:rPr>
                  </w:pPr>
                  <w:r>
                    <w:rPr>
                      <w:rFonts w:hint="eastAsia" w:ascii="宋体" w:hAnsi="宋体" w:eastAsia="宋体" w:cs="宋体"/>
                      <w:sz w:val="18"/>
                      <w:szCs w:val="18"/>
                    </w:rPr>
                    <w:t> 中国</w:t>
                  </w:r>
                </w:p>
              </w:tc>
              <w:tc>
                <w:tcPr>
                  <w:tcW w:w="1779" w:type="dxa"/>
                  <w:tcBorders>
                    <w:top w:val="single" w:color="auto" w:sz="4" w:space="0"/>
                    <w:left w:val="single" w:color="auto" w:sz="4" w:space="0"/>
                    <w:bottom w:val="single" w:color="auto" w:sz="4" w:space="0"/>
                    <w:right w:val="single" w:color="auto" w:sz="4" w:space="0"/>
                  </w:tcBorders>
                  <w:noWrap w:val="0"/>
                  <w:vAlign w:val="center"/>
                </w:tcPr>
                <w:p w14:paraId="7B6AA8D0">
                  <w:pPr>
                    <w:rPr>
                      <w:rFonts w:hint="eastAsia" w:ascii="宋体" w:hAnsi="宋体" w:eastAsia="宋体" w:cs="宋体"/>
                      <w:sz w:val="18"/>
                      <w:szCs w:val="18"/>
                    </w:rPr>
                  </w:pPr>
                  <w:r>
                    <w:rPr>
                      <w:rFonts w:hint="eastAsia" w:ascii="宋体" w:hAnsi="宋体" w:eastAsia="宋体" w:cs="宋体"/>
                      <w:sz w:val="18"/>
                      <w:szCs w:val="18"/>
                    </w:rPr>
                    <w:t> 中国</w:t>
                  </w:r>
                </w:p>
              </w:tc>
            </w:tr>
            <w:tr w14:paraId="173032C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32" w:hRule="atLeast"/>
                <w:jc w:val="center"/>
              </w:trPr>
              <w:tc>
                <w:tcPr>
                  <w:tcW w:w="1024" w:type="dxa"/>
                  <w:tcBorders>
                    <w:top w:val="single" w:color="auto" w:sz="4" w:space="0"/>
                    <w:left w:val="single" w:color="auto" w:sz="4" w:space="0"/>
                    <w:bottom w:val="single" w:color="auto" w:sz="4" w:space="0"/>
                    <w:right w:val="single" w:color="auto" w:sz="4" w:space="0"/>
                  </w:tcBorders>
                  <w:noWrap w:val="0"/>
                  <w:vAlign w:val="top"/>
                </w:tcPr>
                <w:p w14:paraId="6B463D04">
                  <w:pPr>
                    <w:spacing w:line="90" w:lineRule="atLeast"/>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厂商</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2E9C31BA">
                  <w:pPr>
                    <w:rPr>
                      <w:rFonts w:hint="eastAsia" w:ascii="宋体" w:hAnsi="宋体" w:eastAsia="宋体" w:cs="宋体"/>
                      <w:sz w:val="18"/>
                      <w:szCs w:val="18"/>
                    </w:rPr>
                  </w:pPr>
                  <w:r>
                    <w:rPr>
                      <w:rFonts w:hint="eastAsia" w:ascii="宋体" w:hAnsi="宋体" w:eastAsia="宋体" w:cs="宋体"/>
                      <w:sz w:val="18"/>
                      <w:szCs w:val="18"/>
                    </w:rPr>
                    <w:t>成都杰科力科技有限公司</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65865C1B">
                  <w:pPr>
                    <w:rPr>
                      <w:rFonts w:hint="eastAsia" w:ascii="宋体" w:hAnsi="宋体" w:eastAsia="宋体" w:cs="宋体"/>
                      <w:sz w:val="18"/>
                      <w:szCs w:val="18"/>
                    </w:rPr>
                  </w:pPr>
                  <w:r>
                    <w:rPr>
                      <w:rFonts w:hint="eastAsia" w:ascii="宋体" w:hAnsi="宋体" w:eastAsia="宋体" w:cs="宋体"/>
                      <w:sz w:val="18"/>
                      <w:szCs w:val="18"/>
                    </w:rPr>
                    <w:t>成都大成弘毅科技有限公司</w:t>
                  </w:r>
                </w:p>
              </w:tc>
              <w:tc>
                <w:tcPr>
                  <w:tcW w:w="1779" w:type="dxa"/>
                  <w:tcBorders>
                    <w:top w:val="single" w:color="auto" w:sz="4" w:space="0"/>
                    <w:left w:val="single" w:color="auto" w:sz="4" w:space="0"/>
                    <w:bottom w:val="single" w:color="auto" w:sz="4" w:space="0"/>
                    <w:right w:val="single" w:color="auto" w:sz="4" w:space="0"/>
                  </w:tcBorders>
                  <w:noWrap w:val="0"/>
                  <w:vAlign w:val="center"/>
                </w:tcPr>
                <w:p w14:paraId="4094A7B3">
                  <w:pPr>
                    <w:rPr>
                      <w:rFonts w:hint="eastAsia" w:ascii="宋体" w:hAnsi="宋体" w:eastAsia="宋体" w:cs="宋体"/>
                      <w:sz w:val="18"/>
                      <w:szCs w:val="18"/>
                    </w:rPr>
                  </w:pPr>
                  <w:r>
                    <w:rPr>
                      <w:rFonts w:hint="eastAsia" w:ascii="宋体" w:hAnsi="宋体" w:eastAsia="宋体" w:cs="宋体"/>
                      <w:sz w:val="18"/>
                      <w:szCs w:val="18"/>
                    </w:rPr>
                    <w:t> 成都</w:t>
                  </w:r>
                  <w:r>
                    <w:rPr>
                      <w:rFonts w:hint="eastAsia" w:ascii="宋体" w:hAnsi="宋体" w:eastAsia="宋体" w:cs="宋体"/>
                      <w:sz w:val="18"/>
                      <w:szCs w:val="18"/>
                      <w:lang w:val="en-US" w:eastAsia="zh-CN"/>
                    </w:rPr>
                    <w:t>慕课</w:t>
                  </w:r>
                  <w:r>
                    <w:rPr>
                      <w:rFonts w:hint="eastAsia" w:ascii="宋体" w:hAnsi="宋体" w:eastAsia="宋体" w:cs="宋体"/>
                      <w:sz w:val="18"/>
                      <w:szCs w:val="18"/>
                    </w:rPr>
                    <w:t>科技有限公司</w:t>
                  </w:r>
                </w:p>
              </w:tc>
            </w:tr>
            <w:tr w14:paraId="4753921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468" w:hRule="atLeast"/>
                <w:jc w:val="center"/>
              </w:trPr>
              <w:tc>
                <w:tcPr>
                  <w:tcW w:w="1024" w:type="dxa"/>
                  <w:tcBorders>
                    <w:top w:val="single" w:color="auto" w:sz="4" w:space="0"/>
                    <w:left w:val="single" w:color="auto" w:sz="4" w:space="0"/>
                    <w:bottom w:val="single" w:color="auto" w:sz="4" w:space="0"/>
                    <w:right w:val="single" w:color="auto" w:sz="4" w:space="0"/>
                  </w:tcBorders>
                  <w:noWrap w:val="0"/>
                  <w:vAlign w:val="center"/>
                </w:tcPr>
                <w:p w14:paraId="7CDCC724">
                  <w:pPr>
                    <w:snapToGrid w:val="0"/>
                    <w:spacing w:line="600" w:lineRule="exact"/>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技术</w:t>
                  </w:r>
                </w:p>
                <w:p w14:paraId="499E52EC">
                  <w:pPr>
                    <w:snapToGrid w:val="0"/>
                    <w:spacing w:line="600" w:lineRule="exact"/>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要求</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08CC1BD1">
                  <w:pPr>
                    <w:rPr>
                      <w:rFonts w:hint="eastAsia" w:ascii="宋体" w:hAnsi="宋体" w:eastAsia="宋体" w:cs="宋体"/>
                      <w:sz w:val="18"/>
                      <w:szCs w:val="18"/>
                    </w:rPr>
                  </w:pPr>
                  <w:r>
                    <w:rPr>
                      <w:rFonts w:hint="eastAsia" w:ascii="宋体" w:hAnsi="宋体" w:eastAsia="宋体" w:cs="宋体"/>
                      <w:sz w:val="18"/>
                      <w:szCs w:val="18"/>
                    </w:rPr>
                    <w:t>服务器：Windows 2003/2008； office2003办公软件</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223DD28A">
                  <w:pPr>
                    <w:rPr>
                      <w:rFonts w:hint="eastAsia" w:ascii="宋体" w:hAnsi="宋体" w:eastAsia="宋体" w:cs="宋体"/>
                      <w:sz w:val="18"/>
                      <w:szCs w:val="18"/>
                    </w:rPr>
                  </w:pPr>
                  <w:r>
                    <w:rPr>
                      <w:rFonts w:hint="eastAsia" w:ascii="宋体" w:hAnsi="宋体" w:eastAsia="宋体" w:cs="宋体"/>
                      <w:sz w:val="18"/>
                      <w:szCs w:val="18"/>
                    </w:rPr>
                    <w:t>服务器内存4G以上，操作系统Windows  2003，硬盘 250G ， CPU 8核或以上，学生端使用IE8浏览器。</w:t>
                  </w:r>
                </w:p>
              </w:tc>
              <w:tc>
                <w:tcPr>
                  <w:tcW w:w="1779" w:type="dxa"/>
                  <w:tcBorders>
                    <w:top w:val="single" w:color="auto" w:sz="4" w:space="0"/>
                    <w:left w:val="single" w:color="auto" w:sz="4" w:space="0"/>
                    <w:bottom w:val="single" w:color="auto" w:sz="4" w:space="0"/>
                    <w:right w:val="single" w:color="auto" w:sz="4" w:space="0"/>
                  </w:tcBorders>
                  <w:noWrap w:val="0"/>
                  <w:vAlign w:val="center"/>
                </w:tcPr>
                <w:p w14:paraId="4C63571F">
                  <w:pPr>
                    <w:rPr>
                      <w:rFonts w:hint="eastAsia" w:ascii="宋体" w:hAnsi="宋体" w:eastAsia="宋体" w:cs="宋体"/>
                      <w:sz w:val="18"/>
                      <w:szCs w:val="18"/>
                    </w:rPr>
                  </w:pPr>
                  <w:r>
                    <w:rPr>
                      <w:rFonts w:hint="eastAsia" w:ascii="宋体" w:hAnsi="宋体" w:eastAsia="宋体" w:cs="宋体"/>
                      <w:sz w:val="18"/>
                      <w:szCs w:val="18"/>
                    </w:rPr>
                    <w:t xml:space="preserve"> 服务器：Windows 2003/2008；SQL Server2005/2008；NET Framwork 4.0；IIS6.0/7.0 </w:t>
                  </w:r>
                </w:p>
              </w:tc>
            </w:tr>
            <w:tr w14:paraId="182920C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197" w:hRule="atLeast"/>
                <w:jc w:val="center"/>
              </w:trPr>
              <w:tc>
                <w:tcPr>
                  <w:tcW w:w="1024" w:type="dxa"/>
                  <w:tcBorders>
                    <w:top w:val="single" w:color="auto" w:sz="4" w:space="0"/>
                    <w:left w:val="single" w:color="auto" w:sz="4" w:space="0"/>
                    <w:bottom w:val="single" w:color="auto" w:sz="4" w:space="0"/>
                    <w:right w:val="single" w:color="auto" w:sz="4" w:space="0"/>
                  </w:tcBorders>
                  <w:noWrap w:val="0"/>
                  <w:vAlign w:val="center"/>
                </w:tcPr>
                <w:p w14:paraId="76F7727F">
                  <w:pPr>
                    <w:snapToGrid w:val="0"/>
                    <w:spacing w:line="400" w:lineRule="exact"/>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主</w:t>
                  </w:r>
                </w:p>
                <w:p w14:paraId="1BAD5B30">
                  <w:pPr>
                    <w:snapToGrid w:val="0"/>
                    <w:spacing w:line="400" w:lineRule="exact"/>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要</w:t>
                  </w:r>
                </w:p>
                <w:p w14:paraId="0C50C961">
                  <w:pPr>
                    <w:snapToGrid w:val="0"/>
                    <w:spacing w:line="400" w:lineRule="exact"/>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功</w:t>
                  </w:r>
                </w:p>
                <w:p w14:paraId="5018C89E">
                  <w:pPr>
                    <w:snapToGrid w:val="0"/>
                    <w:spacing w:line="400" w:lineRule="exact"/>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能</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2050609C">
                  <w:pPr>
                    <w:jc w:val="left"/>
                    <w:rPr>
                      <w:rFonts w:hint="eastAsia" w:ascii="宋体" w:hAnsi="宋体" w:eastAsia="宋体" w:cs="宋体"/>
                      <w:sz w:val="18"/>
                      <w:szCs w:val="18"/>
                    </w:rPr>
                  </w:pPr>
                  <w:r>
                    <w:rPr>
                      <w:rFonts w:hint="eastAsia" w:ascii="宋体" w:hAnsi="宋体" w:eastAsia="宋体" w:cs="宋体"/>
                      <w:sz w:val="18"/>
                      <w:szCs w:val="18"/>
                    </w:rPr>
                    <w:t>智慧物流决策仿真实验课程</w:t>
                  </w:r>
                  <w:r>
                    <w:rPr>
                      <w:rFonts w:hint="eastAsia" w:ascii="宋体" w:hAnsi="宋体" w:eastAsia="宋体" w:cs="宋体"/>
                      <w:sz w:val="18"/>
                      <w:szCs w:val="18"/>
                      <w:lang w:val="en-US" w:eastAsia="zh-CN"/>
                    </w:rPr>
                    <w:t>包括物流公司设立实验、物流营销与客户管理实验、物流设施设备管理实验、仓储业务管理实验、运输业务管理实验、物流成本管理实验、物流风险管理实验等七大实验。</w:t>
                  </w:r>
                  <w:r>
                    <w:rPr>
                      <w:rFonts w:hint="eastAsia" w:ascii="宋体" w:hAnsi="宋体" w:eastAsia="宋体" w:cs="宋体"/>
                      <w:sz w:val="18"/>
                      <w:szCs w:val="18"/>
                    </w:rPr>
                    <w:t>针对物流相关专业教学特点及我国现行智慧物流市场的特点而设计，旨在为学生创造一个接近现实的教学实践模拟课程体系，为教师提供多种辅助教学手段，提高学生的专业水平和社会实践能力，争取更大的就业机会。</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1CC6E9FA">
                  <w:pPr>
                    <w:jc w:val="left"/>
                    <w:rPr>
                      <w:rFonts w:hint="eastAsia" w:ascii="宋体" w:hAnsi="宋体" w:eastAsia="宋体" w:cs="宋体"/>
                      <w:sz w:val="18"/>
                      <w:szCs w:val="18"/>
                    </w:rPr>
                  </w:pPr>
                  <w:r>
                    <w:rPr>
                      <w:rFonts w:hint="eastAsia" w:ascii="宋体" w:hAnsi="宋体" w:eastAsia="宋体" w:cs="宋体"/>
                      <w:sz w:val="18"/>
                      <w:szCs w:val="18"/>
                    </w:rPr>
                    <w:t> 通过游戏体验</w:t>
                  </w:r>
                  <w:r>
                    <w:rPr>
                      <w:rFonts w:hint="eastAsia" w:ascii="宋体" w:hAnsi="宋体" w:eastAsia="宋体" w:cs="宋体"/>
                      <w:sz w:val="18"/>
                      <w:szCs w:val="18"/>
                      <w:lang w:val="en-US" w:eastAsia="zh-CN"/>
                    </w:rPr>
                    <w:t>物流</w:t>
                  </w:r>
                  <w:r>
                    <w:rPr>
                      <w:rFonts w:hint="eastAsia" w:ascii="宋体" w:hAnsi="宋体" w:eastAsia="宋体" w:cs="宋体"/>
                      <w:sz w:val="18"/>
                      <w:szCs w:val="18"/>
                    </w:rPr>
                    <w:t>的各知识点，让每个学员都有针对性的收获。</w:t>
                  </w:r>
                </w:p>
              </w:tc>
              <w:tc>
                <w:tcPr>
                  <w:tcW w:w="1779" w:type="dxa"/>
                  <w:tcBorders>
                    <w:top w:val="single" w:color="auto" w:sz="4" w:space="0"/>
                    <w:left w:val="single" w:color="auto" w:sz="4" w:space="0"/>
                    <w:bottom w:val="single" w:color="auto" w:sz="4" w:space="0"/>
                    <w:right w:val="single" w:color="auto" w:sz="4" w:space="0"/>
                  </w:tcBorders>
                  <w:noWrap w:val="0"/>
                  <w:vAlign w:val="center"/>
                </w:tcPr>
                <w:p w14:paraId="271B23AC">
                  <w:pPr>
                    <w:jc w:val="left"/>
                    <w:rPr>
                      <w:rFonts w:hint="eastAsia" w:ascii="宋体" w:hAnsi="宋体" w:eastAsia="宋体" w:cs="宋体"/>
                      <w:sz w:val="18"/>
                      <w:szCs w:val="18"/>
                    </w:rPr>
                  </w:pPr>
                  <w:r>
                    <w:rPr>
                      <w:rFonts w:hint="eastAsia" w:ascii="宋体" w:hAnsi="宋体" w:eastAsia="宋体" w:cs="宋体"/>
                      <w:sz w:val="18"/>
                      <w:szCs w:val="18"/>
                    </w:rPr>
                    <w:t>通过模拟</w:t>
                  </w:r>
                  <w:r>
                    <w:rPr>
                      <w:rFonts w:hint="eastAsia" w:ascii="宋体" w:hAnsi="宋体" w:eastAsia="宋体" w:cs="宋体"/>
                      <w:sz w:val="18"/>
                      <w:szCs w:val="18"/>
                      <w:lang w:val="en-US" w:eastAsia="zh-CN"/>
                    </w:rPr>
                    <w:t>电商物流企业</w:t>
                  </w:r>
                  <w:r>
                    <w:rPr>
                      <w:rFonts w:hint="eastAsia" w:ascii="宋体" w:hAnsi="宋体" w:eastAsia="宋体" w:cs="宋体"/>
                      <w:sz w:val="18"/>
                      <w:szCs w:val="18"/>
                    </w:rPr>
                    <w:t>在不同情况下的具体决策，让学生学会</w:t>
                  </w:r>
                  <w:r>
                    <w:rPr>
                      <w:rFonts w:hint="eastAsia" w:ascii="宋体" w:hAnsi="宋体" w:eastAsia="宋体" w:cs="宋体"/>
                      <w:sz w:val="18"/>
                      <w:szCs w:val="18"/>
                      <w:lang w:val="en-US" w:eastAsia="zh-CN"/>
                    </w:rPr>
                    <w:t>电商物流</w:t>
                  </w:r>
                  <w:r>
                    <w:rPr>
                      <w:rFonts w:hint="eastAsia" w:ascii="宋体" w:hAnsi="宋体" w:eastAsia="宋体" w:cs="宋体"/>
                      <w:sz w:val="18"/>
                      <w:szCs w:val="18"/>
                    </w:rPr>
                    <w:t>的知识。</w:t>
                  </w:r>
                </w:p>
              </w:tc>
            </w:tr>
            <w:tr w14:paraId="742D42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25" w:hRule="atLeast"/>
                <w:jc w:val="center"/>
              </w:trPr>
              <w:tc>
                <w:tcPr>
                  <w:tcW w:w="1024" w:type="dxa"/>
                  <w:tcBorders>
                    <w:top w:val="single" w:color="auto" w:sz="4" w:space="0"/>
                    <w:left w:val="single" w:color="auto" w:sz="4" w:space="0"/>
                    <w:bottom w:val="single" w:color="auto" w:sz="4" w:space="0"/>
                    <w:right w:val="single" w:color="auto" w:sz="4" w:space="0"/>
                  </w:tcBorders>
                  <w:noWrap w:val="0"/>
                  <w:vAlign w:val="center"/>
                </w:tcPr>
                <w:p w14:paraId="59B4FDEF">
                  <w:pPr>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应用范围</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59BA33FE">
                  <w:pPr>
                    <w:jc w:val="left"/>
                    <w:rPr>
                      <w:rFonts w:hint="eastAsia" w:ascii="宋体" w:hAnsi="宋体" w:eastAsia="宋体" w:cs="宋体"/>
                      <w:sz w:val="18"/>
                      <w:szCs w:val="18"/>
                    </w:rPr>
                  </w:pPr>
                  <w:r>
                    <w:rPr>
                      <w:rFonts w:hint="eastAsia" w:ascii="宋体" w:hAnsi="宋体" w:eastAsia="宋体" w:cs="宋体"/>
                      <w:sz w:val="18"/>
                      <w:szCs w:val="18"/>
                    </w:rPr>
                    <w:t>本科生（含一本、二本）</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3D32014D">
                  <w:pPr>
                    <w:jc w:val="left"/>
                    <w:rPr>
                      <w:rFonts w:hint="eastAsia" w:ascii="宋体" w:hAnsi="宋体" w:eastAsia="宋体" w:cs="宋体"/>
                      <w:sz w:val="18"/>
                      <w:szCs w:val="18"/>
                    </w:rPr>
                  </w:pPr>
                  <w:r>
                    <w:rPr>
                      <w:rFonts w:hint="eastAsia" w:ascii="宋体" w:hAnsi="宋体" w:eastAsia="宋体" w:cs="宋体"/>
                      <w:sz w:val="18"/>
                      <w:szCs w:val="18"/>
                    </w:rPr>
                    <w:t>专科生、本科生（三本）</w:t>
                  </w:r>
                </w:p>
              </w:tc>
              <w:tc>
                <w:tcPr>
                  <w:tcW w:w="1779" w:type="dxa"/>
                  <w:tcBorders>
                    <w:top w:val="single" w:color="auto" w:sz="4" w:space="0"/>
                    <w:left w:val="single" w:color="auto" w:sz="4" w:space="0"/>
                    <w:bottom w:val="single" w:color="auto" w:sz="4" w:space="0"/>
                    <w:right w:val="single" w:color="auto" w:sz="4" w:space="0"/>
                  </w:tcBorders>
                  <w:noWrap w:val="0"/>
                  <w:vAlign w:val="center"/>
                </w:tcPr>
                <w:p w14:paraId="4EA9F885">
                  <w:pPr>
                    <w:jc w:val="left"/>
                    <w:rPr>
                      <w:rFonts w:hint="eastAsia" w:ascii="宋体" w:hAnsi="宋体" w:eastAsia="宋体" w:cs="宋体"/>
                      <w:sz w:val="18"/>
                      <w:szCs w:val="18"/>
                    </w:rPr>
                  </w:pPr>
                  <w:r>
                    <w:rPr>
                      <w:rFonts w:hint="eastAsia" w:ascii="宋体" w:hAnsi="宋体" w:eastAsia="宋体" w:cs="宋体"/>
                      <w:sz w:val="18"/>
                      <w:szCs w:val="18"/>
                    </w:rPr>
                    <w:t>研究生</w:t>
                  </w:r>
                </w:p>
              </w:tc>
            </w:tr>
            <w:tr w14:paraId="630397E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42" w:hRule="atLeast"/>
                <w:jc w:val="center"/>
              </w:trPr>
              <w:tc>
                <w:tcPr>
                  <w:tcW w:w="1024" w:type="dxa"/>
                  <w:tcBorders>
                    <w:top w:val="single" w:color="auto" w:sz="4" w:space="0"/>
                    <w:left w:val="single" w:color="auto" w:sz="4" w:space="0"/>
                    <w:bottom w:val="single" w:color="auto" w:sz="4" w:space="0"/>
                    <w:right w:val="single" w:color="auto" w:sz="4" w:space="0"/>
                  </w:tcBorders>
                  <w:noWrap w:val="0"/>
                  <w:vAlign w:val="center"/>
                </w:tcPr>
                <w:p w14:paraId="2FA28335">
                  <w:pPr>
                    <w:snapToGrid w:val="0"/>
                    <w:spacing w:line="360" w:lineRule="auto"/>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售后</w:t>
                  </w:r>
                </w:p>
                <w:p w14:paraId="482E0E24">
                  <w:pPr>
                    <w:snapToGrid w:val="0"/>
                    <w:spacing w:line="360" w:lineRule="auto"/>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服务</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27BD06E9">
                  <w:pPr>
                    <w:jc w:val="left"/>
                    <w:rPr>
                      <w:rFonts w:hint="eastAsia" w:ascii="宋体" w:hAnsi="宋体" w:eastAsia="宋体" w:cs="宋体"/>
                      <w:sz w:val="18"/>
                      <w:szCs w:val="18"/>
                    </w:rPr>
                  </w:pPr>
                  <w:r>
                    <w:rPr>
                      <w:rFonts w:hint="eastAsia" w:ascii="宋体" w:hAnsi="宋体" w:eastAsia="宋体" w:cs="宋体"/>
                      <w:sz w:val="18"/>
                      <w:szCs w:val="18"/>
                    </w:rPr>
                    <w:t xml:space="preserve"> 3年质保期和免费升级服务 </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365A9C53">
                  <w:pPr>
                    <w:jc w:val="left"/>
                    <w:rPr>
                      <w:rFonts w:hint="eastAsia" w:ascii="宋体" w:hAnsi="宋体" w:eastAsia="宋体" w:cs="宋体"/>
                      <w:sz w:val="18"/>
                      <w:szCs w:val="18"/>
                    </w:rPr>
                  </w:pPr>
                  <w:r>
                    <w:rPr>
                      <w:rFonts w:hint="eastAsia" w:ascii="宋体" w:hAnsi="宋体" w:eastAsia="宋体" w:cs="宋体"/>
                      <w:sz w:val="18"/>
                      <w:szCs w:val="18"/>
                    </w:rPr>
                    <w:t> 3年质保期和免费升级服务</w:t>
                  </w:r>
                </w:p>
              </w:tc>
              <w:tc>
                <w:tcPr>
                  <w:tcW w:w="1779" w:type="dxa"/>
                  <w:tcBorders>
                    <w:top w:val="single" w:color="auto" w:sz="4" w:space="0"/>
                    <w:left w:val="single" w:color="auto" w:sz="4" w:space="0"/>
                    <w:bottom w:val="single" w:color="auto" w:sz="4" w:space="0"/>
                    <w:right w:val="single" w:color="auto" w:sz="4" w:space="0"/>
                  </w:tcBorders>
                  <w:noWrap w:val="0"/>
                  <w:vAlign w:val="center"/>
                </w:tcPr>
                <w:p w14:paraId="050D891D">
                  <w:pPr>
                    <w:jc w:val="left"/>
                    <w:rPr>
                      <w:rFonts w:hint="eastAsia" w:ascii="宋体" w:hAnsi="宋体" w:eastAsia="宋体" w:cs="宋体"/>
                      <w:sz w:val="18"/>
                      <w:szCs w:val="18"/>
                    </w:rPr>
                  </w:pPr>
                  <w:r>
                    <w:rPr>
                      <w:rFonts w:hint="eastAsia" w:ascii="宋体" w:hAnsi="宋体" w:eastAsia="宋体" w:cs="宋体"/>
                      <w:sz w:val="18"/>
                      <w:szCs w:val="18"/>
                    </w:rPr>
                    <w:t>3年质保期和免费升级服务</w:t>
                  </w:r>
                </w:p>
              </w:tc>
            </w:tr>
          </w:tbl>
          <w:p w14:paraId="7D64A274">
            <w:pPr>
              <w:rPr>
                <w:rFonts w:hint="default"/>
                <w:lang w:val="en-US" w:eastAsia="zh-CN"/>
              </w:rPr>
            </w:pPr>
          </w:p>
        </w:tc>
      </w:tr>
      <w:tr w14:paraId="0F781A5A">
        <w:tblPrEx>
          <w:tblCellMar>
            <w:top w:w="0" w:type="dxa"/>
            <w:left w:w="108" w:type="dxa"/>
            <w:bottom w:w="0" w:type="dxa"/>
            <w:right w:w="108" w:type="dxa"/>
          </w:tblCellMar>
        </w:tblPrEx>
        <w:trPr>
          <w:trHeight w:val="1280" w:hRule="atLeast"/>
        </w:trPr>
        <w:tc>
          <w:tcPr>
            <w:tcW w:w="2277" w:type="dxa"/>
            <w:tcBorders>
              <w:top w:val="single" w:color="auto" w:sz="4" w:space="0"/>
              <w:left w:val="single" w:color="auto" w:sz="4" w:space="0"/>
              <w:bottom w:val="single" w:color="auto" w:sz="4" w:space="0"/>
              <w:right w:val="nil"/>
            </w:tcBorders>
            <w:noWrap/>
            <w:vAlign w:val="center"/>
          </w:tcPr>
          <w:p w14:paraId="7D62B3CD">
            <w:pPr>
              <w:widowControl/>
              <w:jc w:val="center"/>
              <w:rPr>
                <w:rFonts w:ascii="宋体" w:cs="宋体"/>
                <w:kern w:val="0"/>
                <w:szCs w:val="21"/>
              </w:rPr>
            </w:pPr>
            <w:r>
              <w:rPr>
                <w:rFonts w:hint="eastAsia" w:ascii="宋体" w:hAnsi="宋体" w:cs="宋体"/>
                <w:kern w:val="0"/>
                <w:szCs w:val="21"/>
              </w:rPr>
              <w:t>实验室建设要求</w:t>
            </w:r>
          </w:p>
        </w:tc>
        <w:tc>
          <w:tcPr>
            <w:tcW w:w="6139" w:type="dxa"/>
            <w:gridSpan w:val="3"/>
            <w:tcBorders>
              <w:top w:val="single" w:color="auto" w:sz="4" w:space="0"/>
              <w:left w:val="single" w:color="auto" w:sz="4" w:space="0"/>
              <w:bottom w:val="single" w:color="auto" w:sz="4" w:space="0"/>
              <w:right w:val="single" w:color="000000" w:sz="4" w:space="0"/>
            </w:tcBorders>
            <w:noWrap/>
            <w:vAlign w:val="center"/>
          </w:tcPr>
          <w:p w14:paraId="7E1A2854">
            <w:pPr>
              <w:spacing w:line="360" w:lineRule="exact"/>
              <w:rPr>
                <w:rFonts w:hint="eastAsia"/>
              </w:rPr>
            </w:pPr>
            <w:r>
              <w:rPr>
                <w:rFonts w:hint="eastAsia"/>
              </w:rPr>
              <w:t>如有现成机房可直接利用，参考以下标准</w:t>
            </w:r>
          </w:p>
          <w:p w14:paraId="366C3AF5">
            <w:pPr>
              <w:spacing w:line="360" w:lineRule="exact"/>
              <w:rPr>
                <w:rFonts w:hint="eastAsia"/>
              </w:rPr>
            </w:pPr>
            <w:r>
              <w:rPr>
                <w:rFonts w:hint="eastAsia"/>
              </w:rPr>
              <w:t>1)教室：教室使用面积120㎡</w:t>
            </w:r>
          </w:p>
          <w:p w14:paraId="31246CED">
            <w:pPr>
              <w:spacing w:line="360" w:lineRule="exact"/>
              <w:rPr>
                <w:rFonts w:hint="eastAsia"/>
              </w:rPr>
            </w:pPr>
            <w:r>
              <w:rPr>
                <w:rFonts w:hint="eastAsia"/>
              </w:rPr>
              <w:t>2)粉饰内墙及内墙装饰：如条件允许，应将走廊墙面全部落地玻璃，并配活页窗帘。</w:t>
            </w:r>
          </w:p>
          <w:p w14:paraId="0CDF310B">
            <w:pPr>
              <w:spacing w:line="360" w:lineRule="exact"/>
              <w:rPr>
                <w:rFonts w:hint="eastAsia"/>
              </w:rPr>
            </w:pPr>
            <w:r>
              <w:rPr>
                <w:rFonts w:hint="eastAsia"/>
              </w:rPr>
              <w:t>3)安装地板：按下面示意图（实际摆放应按9张桌子），至少每张沙盘桌子下有一根网线或一个网线插口，至少一个电源插口。教师课桌下至少一根网线或网线插口；至少两个电源线插口；并且预留一根麦克风连接线和一根音频输出线。如果投影仪吊顶，预留投影数据线。将交换机安装于墙角，并将所有网线连接于交换机上，并调试交换机</w:t>
            </w:r>
          </w:p>
          <w:p w14:paraId="6AFB0FEC">
            <w:pPr>
              <w:spacing w:line="360" w:lineRule="exact"/>
              <w:rPr>
                <w:rFonts w:hint="eastAsia"/>
              </w:rPr>
            </w:pPr>
            <w:r>
              <w:rPr>
                <w:rFonts w:hint="eastAsia"/>
              </w:rPr>
              <w:t>4)安装音响设备：安装音响设备，并对音响设备进行调试。音响设备安装视设备或教室实际布置</w:t>
            </w:r>
          </w:p>
          <w:p w14:paraId="12DBD14B">
            <w:pPr>
              <w:spacing w:line="360" w:lineRule="exact"/>
              <w:rPr>
                <w:rFonts w:hint="eastAsia"/>
              </w:rPr>
            </w:pPr>
            <w:r>
              <w:rPr>
                <w:rFonts w:hint="eastAsia"/>
              </w:rPr>
              <w:t>5)安装投影仪幕布：安装于教室正前方中间位置。</w:t>
            </w:r>
          </w:p>
          <w:p w14:paraId="10E1EC52">
            <w:pPr>
              <w:spacing w:line="360" w:lineRule="exact"/>
              <w:rPr>
                <w:rFonts w:hint="eastAsia"/>
              </w:rPr>
            </w:pPr>
            <w:r>
              <w:rPr>
                <w:rFonts w:hint="eastAsia"/>
              </w:rPr>
              <w:t>6)投影仪吊顶:并对投影仪投影焦距及大小进行调试。</w:t>
            </w:r>
          </w:p>
          <w:p w14:paraId="6CD0B0D5">
            <w:pPr>
              <w:spacing w:line="360" w:lineRule="exact"/>
              <w:rPr>
                <w:rFonts w:hint="eastAsia"/>
              </w:rPr>
            </w:pPr>
            <w:r>
              <w:rPr>
                <w:rFonts w:hint="eastAsia"/>
              </w:rPr>
              <w:t>7)摆放黑板:摆放黑板于教室前方，或学员可视度高的位置。并避开投影。</w:t>
            </w:r>
          </w:p>
          <w:p w14:paraId="2BBE73DA">
            <w:pPr>
              <w:spacing w:line="360" w:lineRule="exact"/>
              <w:rPr>
                <w:rFonts w:hint="eastAsia"/>
              </w:rPr>
            </w:pPr>
            <w:r>
              <w:rPr>
                <w:rFonts w:hint="eastAsia"/>
              </w:rPr>
              <w:t>8)摆放桌椅:按平面图方式摆放桌子，以及凳子。</w:t>
            </w:r>
          </w:p>
          <w:p w14:paraId="6A236C2D">
            <w:pPr>
              <w:spacing w:line="360" w:lineRule="exact"/>
              <w:rPr>
                <w:rFonts w:hint="eastAsia"/>
              </w:rPr>
            </w:pPr>
            <w:r>
              <w:rPr>
                <w:rFonts w:hint="eastAsia"/>
                <w:lang w:val="en-US" w:eastAsia="zh-CN"/>
              </w:rPr>
              <w:t>9</w:t>
            </w:r>
            <w:r>
              <w:rPr>
                <w:rFonts w:hint="eastAsia"/>
              </w:rPr>
              <w:t>)挂内部装饰图:根据教室内实际情况选择装饰图样进行喷绘，并悬挂于教室内。</w:t>
            </w:r>
          </w:p>
          <w:p w14:paraId="4C4934B2">
            <w:pPr>
              <w:spacing w:line="360" w:lineRule="exact"/>
              <w:rPr>
                <w:rFonts w:hint="eastAsia"/>
              </w:rPr>
            </w:pPr>
            <w:r>
              <w:rPr>
                <w:rFonts w:hint="eastAsia"/>
              </w:rPr>
              <w:t>1</w:t>
            </w:r>
            <w:r>
              <w:rPr>
                <w:rFonts w:hint="eastAsia"/>
                <w:lang w:val="en-US" w:eastAsia="zh-CN"/>
              </w:rPr>
              <w:t>0</w:t>
            </w:r>
            <w:r>
              <w:rPr>
                <w:rFonts w:hint="eastAsia"/>
              </w:rPr>
              <w:t>)安装教师端电脑:安装教师端电脑于教师桌子，并调试网络和音响设备，可以播放音乐。</w:t>
            </w:r>
          </w:p>
          <w:p w14:paraId="71157713">
            <w:pPr>
              <w:spacing w:line="360" w:lineRule="exact"/>
              <w:rPr>
                <w:rFonts w:hint="eastAsia"/>
              </w:rPr>
            </w:pPr>
            <w:r>
              <w:rPr>
                <w:rFonts w:hint="eastAsia"/>
                <w:lang w:val="en-US" w:eastAsia="zh-CN"/>
              </w:rPr>
              <w:t>11)</w:t>
            </w:r>
            <w:r>
              <w:rPr>
                <w:rFonts w:hint="eastAsia"/>
              </w:rPr>
              <w:t>安装电脑:每张桌子上配备</w:t>
            </w:r>
            <w:r>
              <w:rPr>
                <w:rFonts w:hint="eastAsia"/>
                <w:lang w:val="en-US" w:eastAsia="zh-CN"/>
              </w:rPr>
              <w:t>6</w:t>
            </w:r>
            <w:r>
              <w:rPr>
                <w:rFonts w:hint="eastAsia"/>
              </w:rPr>
              <w:t>台计算机（液晶屏幕），并对网络进行调试。</w:t>
            </w:r>
            <w:r>
              <w:pict>
                <v:shape id="_x0000_s2051" o:spid="_x0000_s2051" o:spt="75" alt="沙盘教室9张桌子布局图B" type="#_x0000_t75" style="position:absolute;left:0pt;margin-left:67.9pt;margin-top:-402.8pt;height:200.85pt;width:141.05pt;mso-wrap-distance-bottom:0pt;mso-wrap-distance-top:0pt;rotation:-5898240f;z-index:251660288;mso-width-relative:page;mso-height-relative:page;" filled="f" o:preferrelative="t" stroked="f" coordsize="21600,21600">
                  <v:path/>
                  <v:fill on="f" focussize="0,0"/>
                  <v:stroke on="f"/>
                  <v:imagedata r:id="rId6" o:title="沙盘教室9张桌子布局图B"/>
                  <o:lock v:ext="edit" aspectratio="t"/>
                  <w10:wrap type="topAndBottom"/>
                </v:shape>
              </w:pict>
            </w:r>
          </w:p>
        </w:tc>
      </w:tr>
    </w:tbl>
    <w:p w14:paraId="1A4BCE2E">
      <w:pPr>
        <w:rPr>
          <w:rFonts w:ascii="宋体" w:cs="宋体"/>
          <w:b/>
          <w:bCs/>
          <w:kern w:val="0"/>
          <w:sz w:val="18"/>
          <w:szCs w:val="18"/>
        </w:rPr>
        <w:sectPr>
          <w:headerReference r:id="rId4" w:type="default"/>
          <w:pgSz w:w="11906" w:h="16838"/>
          <w:pgMar w:top="2098" w:right="1474" w:bottom="1985" w:left="1588" w:header="1644" w:footer="1021" w:gutter="0"/>
          <w:cols w:space="425" w:num="1"/>
          <w:docGrid w:type="lines" w:linePitch="312" w:charSpace="0"/>
        </w:sectPr>
      </w:pPr>
    </w:p>
    <w:p w14:paraId="36418330">
      <w:pPr>
        <w:numPr>
          <w:ilvl w:val="0"/>
          <w:numId w:val="3"/>
        </w:numPr>
        <w:ind w:left="550" w:firstLine="0"/>
        <w:jc w:val="left"/>
        <w:rPr>
          <w:rFonts w:ascii="宋体" w:cs="宋体"/>
          <w:b/>
          <w:bCs/>
          <w:kern w:val="0"/>
          <w:sz w:val="18"/>
          <w:szCs w:val="18"/>
        </w:rPr>
      </w:pPr>
      <w:r>
        <w:rPr>
          <w:rFonts w:hint="eastAsia" w:ascii="宋体" w:hAnsi="宋体" w:cs="宋体"/>
          <w:b/>
          <w:bCs/>
          <w:kern w:val="0"/>
          <w:sz w:val="28"/>
          <w:szCs w:val="28"/>
        </w:rPr>
        <w:t>专项项目绩效说明</w:t>
      </w:r>
    </w:p>
    <w:p w14:paraId="7B76D25D">
      <w:pPr>
        <w:ind w:left="1121"/>
        <w:rPr>
          <w:rFonts w:ascii="宋体" w:cs="宋体"/>
          <w:b/>
          <w:bCs/>
          <w:kern w:val="0"/>
          <w:sz w:val="18"/>
          <w:szCs w:val="18"/>
        </w:rPr>
      </w:pPr>
    </w:p>
    <w:tbl>
      <w:tblPr>
        <w:tblStyle w:val="13"/>
        <w:tblW w:w="14299" w:type="dxa"/>
        <w:tblInd w:w="93" w:type="dxa"/>
        <w:tblLayout w:type="fixed"/>
        <w:tblCellMar>
          <w:top w:w="0" w:type="dxa"/>
          <w:left w:w="108" w:type="dxa"/>
          <w:bottom w:w="0" w:type="dxa"/>
          <w:right w:w="108" w:type="dxa"/>
        </w:tblCellMar>
      </w:tblPr>
      <w:tblGrid>
        <w:gridCol w:w="440"/>
        <w:gridCol w:w="1929"/>
        <w:gridCol w:w="7"/>
        <w:gridCol w:w="2502"/>
        <w:gridCol w:w="467"/>
        <w:gridCol w:w="2977"/>
        <w:gridCol w:w="888"/>
        <w:gridCol w:w="888"/>
        <w:gridCol w:w="888"/>
        <w:gridCol w:w="313"/>
        <w:gridCol w:w="575"/>
        <w:gridCol w:w="2425"/>
      </w:tblGrid>
      <w:tr w14:paraId="15DF05A2">
        <w:tblPrEx>
          <w:tblCellMar>
            <w:top w:w="0" w:type="dxa"/>
            <w:left w:w="108" w:type="dxa"/>
            <w:bottom w:w="0" w:type="dxa"/>
            <w:right w:w="108" w:type="dxa"/>
          </w:tblCellMar>
        </w:tblPrEx>
        <w:trPr>
          <w:trHeight w:val="663" w:hRule="atLeast"/>
        </w:trPr>
        <w:tc>
          <w:tcPr>
            <w:tcW w:w="2369" w:type="dxa"/>
            <w:gridSpan w:val="2"/>
            <w:tcBorders>
              <w:top w:val="single" w:color="auto" w:sz="4" w:space="0"/>
              <w:left w:val="single" w:color="auto" w:sz="4" w:space="0"/>
              <w:bottom w:val="single" w:color="auto" w:sz="4" w:space="0"/>
              <w:right w:val="single" w:color="auto" w:sz="4" w:space="0"/>
            </w:tcBorders>
            <w:noWrap/>
            <w:vAlign w:val="center"/>
          </w:tcPr>
          <w:p w14:paraId="6C6625EE">
            <w:pPr>
              <w:widowControl/>
              <w:jc w:val="center"/>
              <w:rPr>
                <w:rFonts w:ascii="宋体" w:cs="宋体"/>
                <w:kern w:val="0"/>
                <w:szCs w:val="21"/>
              </w:rPr>
            </w:pPr>
            <w:r>
              <w:rPr>
                <w:rFonts w:hint="eastAsia" w:ascii="宋体" w:hAnsi="宋体" w:cs="宋体"/>
                <w:kern w:val="0"/>
                <w:szCs w:val="21"/>
              </w:rPr>
              <w:t>项目名称</w:t>
            </w:r>
          </w:p>
        </w:tc>
        <w:tc>
          <w:tcPr>
            <w:tcW w:w="11930" w:type="dxa"/>
            <w:gridSpan w:val="10"/>
            <w:tcBorders>
              <w:top w:val="single" w:color="auto" w:sz="4" w:space="0"/>
              <w:left w:val="nil"/>
              <w:bottom w:val="single" w:color="auto" w:sz="4" w:space="0"/>
              <w:right w:val="single" w:color="000000" w:sz="4" w:space="0"/>
            </w:tcBorders>
            <w:noWrap/>
            <w:vAlign w:val="center"/>
          </w:tcPr>
          <w:p w14:paraId="1487E684">
            <w:pPr>
              <w:widowControl/>
              <w:jc w:val="center"/>
              <w:rPr>
                <w:rFonts w:hint="eastAsia" w:ascii="宋体" w:cs="宋体"/>
                <w:kern w:val="0"/>
                <w:szCs w:val="21"/>
              </w:rPr>
            </w:pPr>
            <w:r>
              <w:rPr>
                <w:rFonts w:hint="eastAsia" w:ascii="宋体" w:hAnsi="宋体" w:cs="宋体"/>
                <w:kern w:val="0"/>
                <w:szCs w:val="21"/>
              </w:rPr>
              <w:t>智慧物流实验室（智慧物流决策仿真系统）</w:t>
            </w:r>
          </w:p>
        </w:tc>
      </w:tr>
      <w:tr w14:paraId="55A83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0" w:hRule="atLeast"/>
        </w:trPr>
        <w:tc>
          <w:tcPr>
            <w:tcW w:w="2369" w:type="dxa"/>
            <w:gridSpan w:val="2"/>
            <w:vAlign w:val="center"/>
          </w:tcPr>
          <w:p w14:paraId="33213617">
            <w:pPr>
              <w:jc w:val="center"/>
              <w:rPr>
                <w:szCs w:val="21"/>
              </w:rPr>
            </w:pPr>
            <w:r>
              <w:rPr>
                <w:rFonts w:hint="eastAsia"/>
                <w:szCs w:val="21"/>
                <w:highlight w:val="yellow"/>
              </w:rPr>
              <w:t>项目实施计划</w:t>
            </w:r>
          </w:p>
        </w:tc>
        <w:tc>
          <w:tcPr>
            <w:tcW w:w="11930" w:type="dxa"/>
            <w:gridSpan w:val="10"/>
            <w:vAlign w:val="center"/>
          </w:tcPr>
          <w:p w14:paraId="79659FDB">
            <w:pPr>
              <w:spacing w:line="360" w:lineRule="exact"/>
              <w:ind w:firstLine="420" w:firstLineChars="200"/>
              <w:rPr>
                <w:rFonts w:hint="eastAsia" w:ascii="宋体" w:hAnsi="宋体" w:cs="宋体"/>
                <w:szCs w:val="21"/>
              </w:rPr>
            </w:pPr>
            <w:r>
              <w:rPr>
                <w:rFonts w:hint="eastAsia" w:ascii="宋体" w:hAnsi="宋体" w:cs="宋体"/>
                <w:szCs w:val="21"/>
              </w:rPr>
              <w:t>(1)2022年9月完成认证</w:t>
            </w:r>
          </w:p>
          <w:p w14:paraId="470F81F4">
            <w:pPr>
              <w:spacing w:line="360" w:lineRule="exact"/>
              <w:ind w:firstLine="420" w:firstLineChars="200"/>
              <w:rPr>
                <w:rFonts w:hint="eastAsia" w:ascii="宋体" w:hAnsi="宋体" w:cs="宋体"/>
                <w:szCs w:val="21"/>
              </w:rPr>
            </w:pPr>
            <w:r>
              <w:rPr>
                <w:rFonts w:hint="eastAsia" w:ascii="宋体" w:hAnsi="宋体" w:cs="宋体"/>
                <w:szCs w:val="21"/>
              </w:rPr>
              <w:t>(2)2022年10月完成立项</w:t>
            </w:r>
          </w:p>
          <w:p w14:paraId="28A85151">
            <w:pPr>
              <w:spacing w:line="360" w:lineRule="exact"/>
              <w:ind w:firstLine="420" w:firstLineChars="200"/>
              <w:rPr>
                <w:rFonts w:hint="eastAsia" w:ascii="宋体" w:hAnsi="宋体" w:cs="宋体"/>
                <w:szCs w:val="21"/>
              </w:rPr>
            </w:pPr>
            <w:r>
              <w:rPr>
                <w:rFonts w:hint="eastAsia" w:ascii="宋体" w:hAnsi="宋体" w:cs="宋体"/>
                <w:szCs w:val="21"/>
              </w:rPr>
              <w:t>(3)2022年11月启动采购</w:t>
            </w:r>
          </w:p>
          <w:p w14:paraId="0936C7E6">
            <w:pPr>
              <w:spacing w:line="360" w:lineRule="exact"/>
              <w:ind w:firstLine="420" w:firstLineChars="200"/>
              <w:rPr>
                <w:rFonts w:hint="eastAsia" w:ascii="宋体" w:hAnsi="宋体" w:cs="宋体"/>
                <w:szCs w:val="21"/>
              </w:rPr>
            </w:pPr>
            <w:r>
              <w:rPr>
                <w:rFonts w:hint="eastAsia" w:ascii="宋体" w:hAnsi="宋体" w:cs="宋体"/>
                <w:szCs w:val="21"/>
              </w:rPr>
              <w:t>(4)2022年12月完成招标采购</w:t>
            </w:r>
          </w:p>
          <w:p w14:paraId="58A25887">
            <w:pPr>
              <w:spacing w:line="360" w:lineRule="exact"/>
              <w:ind w:firstLine="420" w:firstLineChars="200"/>
              <w:rPr>
                <w:rFonts w:hint="eastAsia" w:ascii="宋体" w:hAnsi="宋体" w:cs="宋体"/>
                <w:szCs w:val="21"/>
              </w:rPr>
            </w:pPr>
            <w:r>
              <w:rPr>
                <w:rFonts w:hint="eastAsia" w:ascii="宋体" w:hAnsi="宋体" w:cs="宋体"/>
                <w:szCs w:val="21"/>
              </w:rPr>
              <w:t>(5)2023年</w:t>
            </w:r>
            <w:r>
              <w:rPr>
                <w:rFonts w:hint="eastAsia" w:ascii="宋体" w:hAnsi="宋体" w:cs="宋体"/>
                <w:szCs w:val="21"/>
                <w:lang w:val="en-US" w:eastAsia="zh-CN"/>
              </w:rPr>
              <w:t>5</w:t>
            </w:r>
            <w:r>
              <w:rPr>
                <w:rFonts w:hint="eastAsia" w:ascii="宋体" w:hAnsi="宋体" w:cs="宋体"/>
                <w:szCs w:val="21"/>
              </w:rPr>
              <w:t>月完成供货、培训与验收</w:t>
            </w:r>
          </w:p>
          <w:p w14:paraId="1740D83C">
            <w:pPr>
              <w:spacing w:line="360" w:lineRule="exact"/>
              <w:ind w:firstLine="420" w:firstLineChars="200"/>
              <w:rPr>
                <w:szCs w:val="21"/>
              </w:rPr>
            </w:pPr>
            <w:r>
              <w:rPr>
                <w:rFonts w:hint="eastAsia" w:ascii="宋体" w:hAnsi="宋体" w:cs="宋体"/>
                <w:szCs w:val="21"/>
              </w:rPr>
              <w:t>(6)2023年</w:t>
            </w:r>
            <w:r>
              <w:rPr>
                <w:rFonts w:hint="eastAsia" w:ascii="宋体" w:hAnsi="宋体" w:cs="宋体"/>
                <w:szCs w:val="21"/>
                <w:lang w:val="en-US" w:eastAsia="zh-CN"/>
              </w:rPr>
              <w:t>6</w:t>
            </w:r>
            <w:r>
              <w:rPr>
                <w:rFonts w:hint="eastAsia" w:ascii="宋体" w:hAnsi="宋体" w:cs="宋体"/>
                <w:szCs w:val="21"/>
              </w:rPr>
              <w:t>月正式上课使</w:t>
            </w:r>
          </w:p>
        </w:tc>
      </w:tr>
      <w:tr w14:paraId="5F721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2369" w:type="dxa"/>
            <w:gridSpan w:val="2"/>
            <w:vMerge w:val="restart"/>
            <w:vAlign w:val="center"/>
          </w:tcPr>
          <w:p w14:paraId="3ED9DBAD">
            <w:pPr>
              <w:jc w:val="center"/>
              <w:rPr>
                <w:szCs w:val="21"/>
              </w:rPr>
            </w:pPr>
            <w:r>
              <w:rPr>
                <w:rFonts w:hint="eastAsia"/>
                <w:szCs w:val="21"/>
              </w:rPr>
              <w:t>资金支出计划（</w:t>
            </w:r>
            <w:r>
              <w:rPr>
                <w:szCs w:val="21"/>
              </w:rPr>
              <w:t>100%</w:t>
            </w:r>
            <w:r>
              <w:rPr>
                <w:rFonts w:hint="eastAsia"/>
                <w:szCs w:val="21"/>
              </w:rPr>
              <w:t>）</w:t>
            </w:r>
          </w:p>
        </w:tc>
        <w:tc>
          <w:tcPr>
            <w:tcW w:w="2976" w:type="dxa"/>
            <w:gridSpan w:val="3"/>
            <w:vAlign w:val="center"/>
          </w:tcPr>
          <w:p w14:paraId="157EAAF5">
            <w:pPr>
              <w:jc w:val="center"/>
              <w:rPr>
                <w:szCs w:val="21"/>
              </w:rPr>
            </w:pPr>
            <w:r>
              <w:rPr>
                <w:rFonts w:hint="eastAsia"/>
                <w:szCs w:val="21"/>
              </w:rPr>
              <w:t>第一季度</w:t>
            </w:r>
          </w:p>
        </w:tc>
        <w:tc>
          <w:tcPr>
            <w:tcW w:w="2977" w:type="dxa"/>
            <w:vAlign w:val="center"/>
          </w:tcPr>
          <w:p w14:paraId="2AD39F58">
            <w:pPr>
              <w:jc w:val="center"/>
              <w:rPr>
                <w:szCs w:val="21"/>
              </w:rPr>
            </w:pPr>
            <w:r>
              <w:rPr>
                <w:rFonts w:hint="eastAsia"/>
                <w:szCs w:val="21"/>
              </w:rPr>
              <w:t>第二季度</w:t>
            </w:r>
          </w:p>
        </w:tc>
        <w:tc>
          <w:tcPr>
            <w:tcW w:w="2977" w:type="dxa"/>
            <w:gridSpan w:val="4"/>
            <w:vAlign w:val="center"/>
          </w:tcPr>
          <w:p w14:paraId="1DEC8771">
            <w:pPr>
              <w:jc w:val="center"/>
              <w:rPr>
                <w:szCs w:val="21"/>
              </w:rPr>
            </w:pPr>
            <w:r>
              <w:rPr>
                <w:rFonts w:hint="eastAsia"/>
                <w:szCs w:val="21"/>
              </w:rPr>
              <w:t>第三季度</w:t>
            </w:r>
          </w:p>
        </w:tc>
        <w:tc>
          <w:tcPr>
            <w:tcW w:w="3000" w:type="dxa"/>
            <w:gridSpan w:val="2"/>
            <w:vAlign w:val="center"/>
          </w:tcPr>
          <w:p w14:paraId="56C2A7D0">
            <w:pPr>
              <w:jc w:val="center"/>
              <w:rPr>
                <w:szCs w:val="21"/>
              </w:rPr>
            </w:pPr>
            <w:r>
              <w:rPr>
                <w:rFonts w:hint="eastAsia"/>
                <w:szCs w:val="21"/>
              </w:rPr>
              <w:t>第四季度</w:t>
            </w:r>
          </w:p>
        </w:tc>
      </w:tr>
      <w:tr w14:paraId="3C38C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2369" w:type="dxa"/>
            <w:gridSpan w:val="2"/>
            <w:vMerge w:val="continue"/>
            <w:vAlign w:val="center"/>
          </w:tcPr>
          <w:p w14:paraId="331E6E57">
            <w:pPr>
              <w:jc w:val="center"/>
              <w:rPr>
                <w:szCs w:val="21"/>
              </w:rPr>
            </w:pPr>
          </w:p>
        </w:tc>
        <w:tc>
          <w:tcPr>
            <w:tcW w:w="2976" w:type="dxa"/>
            <w:gridSpan w:val="3"/>
            <w:vAlign w:val="center"/>
          </w:tcPr>
          <w:p w14:paraId="58184427">
            <w:pPr>
              <w:jc w:val="center"/>
              <w:rPr>
                <w:rFonts w:hint="default" w:eastAsia="宋体"/>
                <w:szCs w:val="21"/>
                <w:lang w:val="en-US" w:eastAsia="zh-CN"/>
              </w:rPr>
            </w:pPr>
          </w:p>
        </w:tc>
        <w:tc>
          <w:tcPr>
            <w:tcW w:w="2977" w:type="dxa"/>
            <w:vAlign w:val="center"/>
          </w:tcPr>
          <w:p w14:paraId="11CE05CA">
            <w:pPr>
              <w:jc w:val="center"/>
              <w:rPr>
                <w:szCs w:val="21"/>
              </w:rPr>
            </w:pPr>
          </w:p>
        </w:tc>
        <w:tc>
          <w:tcPr>
            <w:tcW w:w="2977" w:type="dxa"/>
            <w:gridSpan w:val="4"/>
            <w:vAlign w:val="center"/>
          </w:tcPr>
          <w:p w14:paraId="257D19F1">
            <w:pPr>
              <w:jc w:val="center"/>
              <w:rPr>
                <w:szCs w:val="21"/>
              </w:rPr>
            </w:pPr>
            <w:r>
              <w:rPr>
                <w:szCs w:val="21"/>
              </w:rPr>
              <w:t>100%</w:t>
            </w:r>
          </w:p>
        </w:tc>
        <w:tc>
          <w:tcPr>
            <w:tcW w:w="3000" w:type="dxa"/>
            <w:gridSpan w:val="2"/>
            <w:vAlign w:val="center"/>
          </w:tcPr>
          <w:p w14:paraId="54596F19">
            <w:pPr>
              <w:jc w:val="center"/>
              <w:rPr>
                <w:szCs w:val="21"/>
              </w:rPr>
            </w:pPr>
          </w:p>
        </w:tc>
      </w:tr>
      <w:tr w14:paraId="24E6C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1" w:hRule="atLeast"/>
        </w:trPr>
        <w:tc>
          <w:tcPr>
            <w:tcW w:w="2376" w:type="dxa"/>
            <w:gridSpan w:val="3"/>
            <w:vAlign w:val="center"/>
          </w:tcPr>
          <w:p w14:paraId="13C29D98">
            <w:pPr>
              <w:jc w:val="center"/>
              <w:rPr>
                <w:szCs w:val="21"/>
              </w:rPr>
            </w:pPr>
            <w:r>
              <w:rPr>
                <w:rFonts w:hint="eastAsia"/>
                <w:szCs w:val="21"/>
              </w:rPr>
              <w:t>绩效目标</w:t>
            </w:r>
          </w:p>
        </w:tc>
        <w:tc>
          <w:tcPr>
            <w:tcW w:w="11923" w:type="dxa"/>
            <w:gridSpan w:val="9"/>
            <w:vAlign w:val="center"/>
          </w:tcPr>
          <w:p w14:paraId="3B142732">
            <w:pPr>
              <w:pStyle w:val="2"/>
              <w:rPr>
                <w:rFonts w:hint="eastAsia"/>
              </w:rPr>
            </w:pPr>
            <w:r>
              <w:rPr>
                <w:rFonts w:hint="eastAsia"/>
              </w:rPr>
              <w:t>（1）教学用途</w:t>
            </w:r>
          </w:p>
          <w:p w14:paraId="30560A92">
            <w:pPr>
              <w:pStyle w:val="2"/>
              <w:rPr>
                <w:rFonts w:hint="eastAsia"/>
              </w:rPr>
            </w:pPr>
            <w:r>
              <w:rPr>
                <w:rFonts w:hint="eastAsia"/>
                <w:lang w:eastAsia="zh-CN"/>
              </w:rPr>
              <w:t>物流管理</w:t>
            </w:r>
            <w:r>
              <w:rPr>
                <w:rFonts w:hint="eastAsia"/>
              </w:rPr>
              <w:t>专业具有理论模型众多、涉及面广、高度抽象特点，学生要在毕业实习过程中应用</w:t>
            </w:r>
            <w:r>
              <w:rPr>
                <w:rFonts w:hint="eastAsia"/>
                <w:lang w:eastAsia="zh-CN"/>
              </w:rPr>
              <w:t>物流管理</w:t>
            </w:r>
            <w:r>
              <w:rPr>
                <w:rFonts w:hint="eastAsia"/>
              </w:rPr>
              <w:t>知识分析解决实际问题非常困难。通过</w:t>
            </w:r>
            <w:r>
              <w:rPr>
                <w:rFonts w:hint="eastAsia" w:ascii="宋体" w:hAnsi="宋体" w:cs="宋体"/>
                <w:kern w:val="0"/>
                <w:szCs w:val="21"/>
              </w:rPr>
              <w:t>智慧物流实验室</w:t>
            </w:r>
            <w:r>
              <w:rPr>
                <w:rFonts w:hint="eastAsia"/>
              </w:rPr>
              <w:t>实训，可以让学生接触到整个</w:t>
            </w:r>
            <w:r>
              <w:rPr>
                <w:rFonts w:hint="eastAsia"/>
                <w:lang w:eastAsia="zh-CN"/>
              </w:rPr>
              <w:t>物流公司</w:t>
            </w:r>
            <w:r>
              <w:rPr>
                <w:rFonts w:hint="eastAsia"/>
              </w:rPr>
              <w:t>运行流程、并能有意识地搜集和分析各项运行的数据，通过数据分析验证模型和</w:t>
            </w:r>
            <w:r>
              <w:rPr>
                <w:rFonts w:hint="eastAsia"/>
                <w:lang w:eastAsia="zh-CN"/>
              </w:rPr>
              <w:t>物流管理</w:t>
            </w:r>
            <w:r>
              <w:rPr>
                <w:rFonts w:hint="eastAsia"/>
              </w:rPr>
              <w:t>理论在现实生活中应用。从学校教学目的出发，第一能满足教学目标实现。第二是极大地提高学生学习兴趣。</w:t>
            </w:r>
          </w:p>
          <w:p w14:paraId="633FC137">
            <w:pPr>
              <w:spacing w:line="360" w:lineRule="exact"/>
              <w:ind w:firstLine="420" w:firstLineChars="200"/>
              <w:rPr>
                <w:rFonts w:hint="eastAsia"/>
              </w:rPr>
            </w:pPr>
            <w:r>
              <w:rPr>
                <w:rFonts w:hint="eastAsia"/>
              </w:rPr>
              <w:t>通过体验式实践演练和模拟，加强了学生创造能力培养，学会在实践中发现问题、提炼问题，概括问题、解决问题综合实力。从兄弟院校经验看，与没有开这些实验项目相比，学生明显对物流业务熟悉很多，能比较系统地讲出物流</w:t>
            </w:r>
            <w:r>
              <w:rPr>
                <w:rFonts w:hint="eastAsia"/>
                <w:lang w:eastAsia="zh-CN"/>
              </w:rPr>
              <w:t>管理决策</w:t>
            </w:r>
            <w:r>
              <w:rPr>
                <w:rFonts w:hint="eastAsia"/>
              </w:rPr>
              <w:t>的关键点与技巧，尤其对物流业务的核心因素有良好的心得和体会，入职后的发展空间比其他院校大很多。</w:t>
            </w:r>
          </w:p>
          <w:p w14:paraId="26916D51">
            <w:pPr>
              <w:pStyle w:val="2"/>
              <w:rPr>
                <w:rFonts w:hint="eastAsia"/>
              </w:rPr>
            </w:pPr>
            <w:r>
              <w:rPr>
                <w:rFonts w:hint="eastAsia"/>
              </w:rPr>
              <w:t>（2）对学科发展意义</w:t>
            </w:r>
          </w:p>
          <w:p w14:paraId="4A986B7D">
            <w:pPr>
              <w:pStyle w:val="2"/>
              <w:rPr>
                <w:rFonts w:hint="eastAsia"/>
              </w:rPr>
            </w:pPr>
            <w:r>
              <w:rPr>
                <w:rFonts w:hint="eastAsia" w:ascii="宋体" w:hAnsi="宋体" w:cs="宋体"/>
                <w:kern w:val="0"/>
                <w:szCs w:val="21"/>
              </w:rPr>
              <w:t>智慧物流实验室</w:t>
            </w:r>
            <w:r>
              <w:rPr>
                <w:rFonts w:hint="eastAsia"/>
              </w:rPr>
              <w:t>是专业建设的需要。我校管理类实验室较多，但</w:t>
            </w:r>
            <w:r>
              <w:rPr>
                <w:rFonts w:hint="eastAsia"/>
                <w:lang w:eastAsia="zh-CN"/>
              </w:rPr>
              <w:t>物流管理</w:t>
            </w:r>
            <w:r>
              <w:rPr>
                <w:rFonts w:hint="eastAsia"/>
              </w:rPr>
              <w:t>缺乏对口的综合实训项目以及实训室，通过建立智慧物流实验室，引入先进实验教学体系，推动实践教学模式改革，提高教师在实践教学等方面的能力。进一步完善实践型教学体系，提升教学质量，丰富实践教学内容，提升学院的整体品牌影响力。同时，通过这一平台的建设，可帮助我院经管类各专业进一步建立比较完善的实践教学体系，为今后学院申报各项教学成果及“实验（实训）示范中心”打下基础。</w:t>
            </w:r>
          </w:p>
          <w:p w14:paraId="32A71F52">
            <w:pPr>
              <w:pStyle w:val="2"/>
              <w:rPr>
                <w:rFonts w:hint="eastAsia"/>
              </w:rPr>
            </w:pPr>
            <w:r>
              <w:rPr>
                <w:rFonts w:hint="eastAsia"/>
              </w:rPr>
              <w:t>（3）就业用途</w:t>
            </w:r>
          </w:p>
          <w:p w14:paraId="7C881413">
            <w:pPr>
              <w:pStyle w:val="2"/>
              <w:rPr>
                <w:rFonts w:hint="eastAsia"/>
              </w:rPr>
            </w:pPr>
            <w:r>
              <w:rPr>
                <w:rFonts w:hint="eastAsia"/>
              </w:rPr>
              <w:t>目前学院就业</w:t>
            </w:r>
            <w:r>
              <w:rPr>
                <w:rFonts w:hint="eastAsia"/>
                <w:lang w:eastAsia="zh-CN"/>
              </w:rPr>
              <w:t>两</w:t>
            </w:r>
            <w:r>
              <w:rPr>
                <w:rFonts w:hint="eastAsia"/>
              </w:rPr>
              <w:t>大方向分别为企业经营，政府事务，学生必须</w:t>
            </w:r>
            <w:r>
              <w:rPr>
                <w:rFonts w:hint="eastAsia"/>
                <w:lang w:eastAsia="zh-CN"/>
              </w:rPr>
              <w:t>掌握物流管理知识</w:t>
            </w:r>
            <w:r>
              <w:rPr>
                <w:rFonts w:hint="eastAsia"/>
              </w:rPr>
              <w:t>在现实中的应用。但长期以来，我院针对</w:t>
            </w:r>
            <w:r>
              <w:rPr>
                <w:rFonts w:hint="eastAsia"/>
                <w:lang w:eastAsia="zh-CN"/>
              </w:rPr>
              <w:t>这一</w:t>
            </w:r>
            <w:r>
              <w:rPr>
                <w:rFonts w:hint="eastAsia"/>
              </w:rPr>
              <w:t>方面的应用型课程不多，实践类课程更少。智慧物流实验室的建</w:t>
            </w:r>
            <w:r>
              <w:rPr>
                <w:rFonts w:hint="eastAsia"/>
                <w:lang w:eastAsia="zh-CN"/>
              </w:rPr>
              <w:t>设</w:t>
            </w:r>
            <w:r>
              <w:rPr>
                <w:rFonts w:hint="eastAsia"/>
              </w:rPr>
              <w:t>，有利于锻炼学生对数据分析、理论应用能力，养成理性决策思维。</w:t>
            </w:r>
            <w:r>
              <w:rPr>
                <w:rFonts w:hint="eastAsia" w:ascii="宋体" w:hAnsi="宋体" w:cs="宋体"/>
                <w:kern w:val="0"/>
                <w:szCs w:val="21"/>
              </w:rPr>
              <w:t>智慧物流实验室</w:t>
            </w:r>
            <w:r>
              <w:rPr>
                <w:rFonts w:hint="eastAsia"/>
              </w:rPr>
              <w:t>的实训内容紧扣经济环境分析、企业运营几个主题，基本涵盖了就业的</w:t>
            </w:r>
            <w:r>
              <w:rPr>
                <w:rFonts w:hint="eastAsia"/>
                <w:lang w:eastAsia="zh-CN"/>
              </w:rPr>
              <w:t>主要</w:t>
            </w:r>
            <w:r>
              <w:rPr>
                <w:rFonts w:hint="eastAsia"/>
              </w:rPr>
              <w:t>方向。同时，当前校外实习一直存在学生无法接触核心岗位与核心业务的难题，综合仿真实训通过模拟运营的形式有利于解决这一难题。</w:t>
            </w:r>
          </w:p>
        </w:tc>
      </w:tr>
      <w:tr w14:paraId="75914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376" w:type="dxa"/>
            <w:gridSpan w:val="3"/>
            <w:vMerge w:val="restart"/>
            <w:vAlign w:val="center"/>
          </w:tcPr>
          <w:p w14:paraId="399CD84A">
            <w:pPr>
              <w:jc w:val="center"/>
              <w:rPr>
                <w:szCs w:val="21"/>
              </w:rPr>
            </w:pPr>
            <w:r>
              <w:rPr>
                <w:rFonts w:hint="eastAsia"/>
                <w:szCs w:val="21"/>
              </w:rPr>
              <w:t>绩效指标分类</w:t>
            </w:r>
          </w:p>
        </w:tc>
        <w:tc>
          <w:tcPr>
            <w:tcW w:w="2502" w:type="dxa"/>
            <w:vMerge w:val="restart"/>
            <w:vAlign w:val="center"/>
          </w:tcPr>
          <w:p w14:paraId="7AE4BBB4">
            <w:pPr>
              <w:jc w:val="center"/>
              <w:rPr>
                <w:szCs w:val="21"/>
              </w:rPr>
            </w:pPr>
            <w:r>
              <w:rPr>
                <w:rFonts w:hint="eastAsia"/>
                <w:szCs w:val="21"/>
              </w:rPr>
              <w:t>绩效指标</w:t>
            </w:r>
          </w:p>
        </w:tc>
        <w:tc>
          <w:tcPr>
            <w:tcW w:w="3444" w:type="dxa"/>
            <w:gridSpan w:val="2"/>
            <w:vMerge w:val="restart"/>
            <w:vAlign w:val="center"/>
          </w:tcPr>
          <w:p w14:paraId="5FF8E419">
            <w:pPr>
              <w:jc w:val="center"/>
              <w:rPr>
                <w:szCs w:val="21"/>
              </w:rPr>
            </w:pPr>
            <w:r>
              <w:rPr>
                <w:rFonts w:hint="eastAsia"/>
                <w:szCs w:val="21"/>
              </w:rPr>
              <w:t>绩效指标描述</w:t>
            </w:r>
          </w:p>
        </w:tc>
        <w:tc>
          <w:tcPr>
            <w:tcW w:w="3552" w:type="dxa"/>
            <w:gridSpan w:val="5"/>
            <w:vAlign w:val="center"/>
          </w:tcPr>
          <w:p w14:paraId="0BB5DE59">
            <w:pPr>
              <w:jc w:val="center"/>
              <w:rPr>
                <w:szCs w:val="21"/>
              </w:rPr>
            </w:pPr>
            <w:r>
              <w:rPr>
                <w:rFonts w:hint="eastAsia"/>
                <w:szCs w:val="21"/>
              </w:rPr>
              <w:t>绩效指标评价标准</w:t>
            </w:r>
          </w:p>
        </w:tc>
        <w:tc>
          <w:tcPr>
            <w:tcW w:w="2425" w:type="dxa"/>
            <w:vMerge w:val="restart"/>
            <w:vAlign w:val="center"/>
          </w:tcPr>
          <w:p w14:paraId="7479D899">
            <w:pPr>
              <w:jc w:val="center"/>
              <w:rPr>
                <w:szCs w:val="21"/>
              </w:rPr>
            </w:pPr>
            <w:r>
              <w:rPr>
                <w:rFonts w:hint="eastAsia"/>
                <w:szCs w:val="21"/>
              </w:rPr>
              <w:t>评价标准确定依据</w:t>
            </w:r>
          </w:p>
        </w:tc>
      </w:tr>
      <w:tr w14:paraId="0B14E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2376" w:type="dxa"/>
            <w:gridSpan w:val="3"/>
            <w:vMerge w:val="continue"/>
            <w:vAlign w:val="center"/>
          </w:tcPr>
          <w:p w14:paraId="5BBE30F6">
            <w:pPr>
              <w:jc w:val="center"/>
              <w:rPr>
                <w:szCs w:val="21"/>
              </w:rPr>
            </w:pPr>
          </w:p>
        </w:tc>
        <w:tc>
          <w:tcPr>
            <w:tcW w:w="2502" w:type="dxa"/>
            <w:vMerge w:val="continue"/>
            <w:vAlign w:val="center"/>
          </w:tcPr>
          <w:p w14:paraId="3F1F9D08">
            <w:pPr>
              <w:jc w:val="center"/>
              <w:rPr>
                <w:szCs w:val="21"/>
              </w:rPr>
            </w:pPr>
          </w:p>
        </w:tc>
        <w:tc>
          <w:tcPr>
            <w:tcW w:w="3444" w:type="dxa"/>
            <w:gridSpan w:val="2"/>
            <w:vMerge w:val="continue"/>
            <w:vAlign w:val="center"/>
          </w:tcPr>
          <w:p w14:paraId="12DCC12D">
            <w:pPr>
              <w:jc w:val="center"/>
              <w:rPr>
                <w:szCs w:val="21"/>
              </w:rPr>
            </w:pPr>
          </w:p>
        </w:tc>
        <w:tc>
          <w:tcPr>
            <w:tcW w:w="888" w:type="dxa"/>
            <w:vAlign w:val="center"/>
          </w:tcPr>
          <w:p w14:paraId="2421C80A">
            <w:pPr>
              <w:jc w:val="center"/>
              <w:rPr>
                <w:szCs w:val="21"/>
              </w:rPr>
            </w:pPr>
            <w:r>
              <w:rPr>
                <w:rFonts w:hint="eastAsia"/>
                <w:szCs w:val="21"/>
              </w:rPr>
              <w:t>优</w:t>
            </w:r>
          </w:p>
        </w:tc>
        <w:tc>
          <w:tcPr>
            <w:tcW w:w="888" w:type="dxa"/>
            <w:vAlign w:val="center"/>
          </w:tcPr>
          <w:p w14:paraId="2D0042B4">
            <w:pPr>
              <w:jc w:val="center"/>
              <w:rPr>
                <w:szCs w:val="21"/>
              </w:rPr>
            </w:pPr>
            <w:r>
              <w:rPr>
                <w:rFonts w:hint="eastAsia"/>
                <w:szCs w:val="21"/>
              </w:rPr>
              <w:t>良</w:t>
            </w:r>
          </w:p>
        </w:tc>
        <w:tc>
          <w:tcPr>
            <w:tcW w:w="888" w:type="dxa"/>
            <w:vAlign w:val="center"/>
          </w:tcPr>
          <w:p w14:paraId="4432AE7A">
            <w:pPr>
              <w:jc w:val="center"/>
              <w:rPr>
                <w:szCs w:val="21"/>
              </w:rPr>
            </w:pPr>
            <w:r>
              <w:rPr>
                <w:rFonts w:hint="eastAsia"/>
                <w:szCs w:val="21"/>
              </w:rPr>
              <w:t>中</w:t>
            </w:r>
          </w:p>
        </w:tc>
        <w:tc>
          <w:tcPr>
            <w:tcW w:w="888" w:type="dxa"/>
            <w:gridSpan w:val="2"/>
            <w:vAlign w:val="center"/>
          </w:tcPr>
          <w:p w14:paraId="7CF1FE4E">
            <w:pPr>
              <w:jc w:val="center"/>
              <w:rPr>
                <w:szCs w:val="21"/>
              </w:rPr>
            </w:pPr>
            <w:r>
              <w:rPr>
                <w:rFonts w:hint="eastAsia"/>
                <w:szCs w:val="21"/>
              </w:rPr>
              <w:t>差</w:t>
            </w:r>
          </w:p>
        </w:tc>
        <w:tc>
          <w:tcPr>
            <w:tcW w:w="2425" w:type="dxa"/>
            <w:vMerge w:val="continue"/>
            <w:vAlign w:val="center"/>
          </w:tcPr>
          <w:p w14:paraId="69001C8A">
            <w:pPr>
              <w:jc w:val="center"/>
              <w:rPr>
                <w:szCs w:val="21"/>
              </w:rPr>
            </w:pPr>
          </w:p>
        </w:tc>
      </w:tr>
      <w:tr w14:paraId="6717D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trPr>
        <w:tc>
          <w:tcPr>
            <w:tcW w:w="440" w:type="dxa"/>
            <w:vAlign w:val="center"/>
          </w:tcPr>
          <w:p w14:paraId="70F97CAE">
            <w:pPr>
              <w:jc w:val="center"/>
              <w:rPr>
                <w:sz w:val="20"/>
                <w:szCs w:val="20"/>
              </w:rPr>
            </w:pPr>
            <w:r>
              <w:rPr>
                <w:sz w:val="20"/>
                <w:szCs w:val="20"/>
              </w:rPr>
              <w:t>1</w:t>
            </w:r>
          </w:p>
        </w:tc>
        <w:tc>
          <w:tcPr>
            <w:tcW w:w="1936" w:type="dxa"/>
            <w:gridSpan w:val="2"/>
            <w:vAlign w:val="center"/>
          </w:tcPr>
          <w:p w14:paraId="5CB4AB36">
            <w:pPr>
              <w:jc w:val="center"/>
              <w:rPr>
                <w:sz w:val="20"/>
                <w:szCs w:val="20"/>
              </w:rPr>
            </w:pPr>
            <w:r>
              <w:rPr>
                <w:rFonts w:hint="eastAsia"/>
                <w:sz w:val="20"/>
                <w:szCs w:val="20"/>
              </w:rPr>
              <w:t>产出指标</w:t>
            </w:r>
          </w:p>
        </w:tc>
        <w:tc>
          <w:tcPr>
            <w:tcW w:w="2502" w:type="dxa"/>
            <w:vAlign w:val="center"/>
          </w:tcPr>
          <w:p w14:paraId="33331604">
            <w:pPr>
              <w:jc w:val="left"/>
              <w:rPr>
                <w:rFonts w:ascii="宋体" w:cs="宋体"/>
                <w:szCs w:val="21"/>
              </w:rPr>
            </w:pPr>
            <w:r>
              <w:rPr>
                <w:rFonts w:ascii="宋体" w:hAnsi="宋体" w:cs="宋体"/>
                <w:szCs w:val="21"/>
              </w:rPr>
              <w:t>1</w:t>
            </w:r>
            <w:r>
              <w:rPr>
                <w:rFonts w:hint="eastAsia" w:ascii="宋体" w:hAnsi="宋体" w:cs="宋体"/>
                <w:szCs w:val="21"/>
              </w:rPr>
              <w:t>、产出数量指标</w:t>
            </w:r>
          </w:p>
          <w:p w14:paraId="03A8B4F4">
            <w:pPr>
              <w:jc w:val="left"/>
              <w:rPr>
                <w:rFonts w:ascii="宋体" w:cs="宋体"/>
                <w:szCs w:val="21"/>
              </w:rPr>
            </w:pPr>
            <w:r>
              <w:rPr>
                <w:rFonts w:ascii="宋体" w:hAnsi="宋体" w:cs="宋体"/>
                <w:szCs w:val="21"/>
              </w:rPr>
              <w:t>2</w:t>
            </w:r>
            <w:r>
              <w:rPr>
                <w:rFonts w:hint="eastAsia" w:ascii="宋体" w:hAnsi="宋体" w:cs="宋体"/>
                <w:szCs w:val="21"/>
              </w:rPr>
              <w:t>、产出质量指标</w:t>
            </w:r>
          </w:p>
          <w:p w14:paraId="68929F40">
            <w:pPr>
              <w:jc w:val="left"/>
              <w:rPr>
                <w:rFonts w:ascii="宋体" w:cs="宋体"/>
                <w:szCs w:val="21"/>
              </w:rPr>
            </w:pPr>
            <w:r>
              <w:rPr>
                <w:rFonts w:ascii="宋体" w:hAnsi="宋体" w:cs="宋体"/>
                <w:szCs w:val="21"/>
              </w:rPr>
              <w:t>3</w:t>
            </w:r>
            <w:r>
              <w:rPr>
                <w:rFonts w:hint="eastAsia" w:ascii="宋体" w:hAnsi="宋体" w:cs="宋体"/>
                <w:szCs w:val="21"/>
              </w:rPr>
              <w:t>、产出进度指标</w:t>
            </w:r>
          </w:p>
          <w:p w14:paraId="510B5BB4">
            <w:pPr>
              <w:jc w:val="left"/>
              <w:rPr>
                <w:rFonts w:ascii="宋体" w:cs="宋体"/>
                <w:szCs w:val="21"/>
              </w:rPr>
            </w:pPr>
            <w:r>
              <w:rPr>
                <w:rFonts w:ascii="宋体" w:hAnsi="宋体" w:cs="宋体"/>
                <w:szCs w:val="21"/>
              </w:rPr>
              <w:t>4</w:t>
            </w:r>
            <w:r>
              <w:rPr>
                <w:rFonts w:hint="eastAsia" w:ascii="宋体" w:hAnsi="宋体" w:cs="宋体"/>
                <w:szCs w:val="21"/>
              </w:rPr>
              <w:t>、产出成本指标</w:t>
            </w:r>
          </w:p>
        </w:tc>
        <w:tc>
          <w:tcPr>
            <w:tcW w:w="3444" w:type="dxa"/>
            <w:gridSpan w:val="2"/>
            <w:vAlign w:val="center"/>
          </w:tcPr>
          <w:p w14:paraId="0957D1DC">
            <w:pPr>
              <w:rPr>
                <w:rFonts w:hint="eastAsia" w:ascii="宋体" w:cs="宋体"/>
                <w:szCs w:val="21"/>
                <w:lang w:val="en-US" w:eastAsia="zh-CN"/>
              </w:rPr>
            </w:pPr>
            <w:r>
              <w:rPr>
                <w:rFonts w:hint="eastAsia" w:ascii="宋体" w:cs="宋体"/>
                <w:szCs w:val="21"/>
                <w:lang w:val="en-US" w:eastAsia="zh-CN"/>
              </w:rPr>
              <w:t>1、每学年承担实验教学计划内学时数(16课时×班级数量)</w:t>
            </w:r>
            <w:r>
              <w:rPr>
                <w:rFonts w:hint="eastAsia" w:ascii="宋体" w:cs="宋体"/>
                <w:szCs w:val="21"/>
                <w:highlight w:val="yellow"/>
                <w:lang w:val="en-US" w:eastAsia="zh-CN"/>
              </w:rPr>
              <w:t>≥192</w:t>
            </w:r>
          </w:p>
          <w:p w14:paraId="35403F01">
            <w:pPr>
              <w:rPr>
                <w:rFonts w:hint="eastAsia" w:ascii="宋体" w:cs="宋体"/>
                <w:szCs w:val="21"/>
                <w:lang w:val="en-US" w:eastAsia="zh-CN"/>
              </w:rPr>
            </w:pPr>
            <w:r>
              <w:rPr>
                <w:rFonts w:hint="eastAsia" w:ascii="宋体" w:cs="宋体"/>
                <w:szCs w:val="21"/>
                <w:lang w:val="en-US" w:eastAsia="zh-CN"/>
              </w:rPr>
              <w:t>2、新开实训课程的培训完成率100%</w:t>
            </w:r>
          </w:p>
          <w:p w14:paraId="34F6A6DE">
            <w:pPr>
              <w:rPr>
                <w:rFonts w:hint="eastAsia" w:ascii="宋体" w:cs="宋体"/>
                <w:szCs w:val="21"/>
                <w:lang w:val="en-US" w:eastAsia="zh-CN"/>
              </w:rPr>
            </w:pPr>
            <w:r>
              <w:rPr>
                <w:rFonts w:hint="eastAsia" w:ascii="宋体" w:cs="宋体"/>
                <w:szCs w:val="21"/>
                <w:lang w:val="en-US" w:eastAsia="zh-CN"/>
              </w:rPr>
              <w:t>3、服务器响应次数每分钟60次</w:t>
            </w:r>
          </w:p>
          <w:p w14:paraId="2E429836">
            <w:pPr>
              <w:rPr>
                <w:rFonts w:hint="default" w:ascii="宋体" w:cs="宋体"/>
                <w:szCs w:val="21"/>
                <w:lang w:val="en-US" w:eastAsia="zh-CN"/>
              </w:rPr>
            </w:pPr>
            <w:r>
              <w:rPr>
                <w:rFonts w:hint="eastAsia" w:ascii="宋体" w:cs="宋体"/>
                <w:szCs w:val="21"/>
                <w:lang w:val="en-US" w:eastAsia="zh-CN"/>
              </w:rPr>
              <w:t>4、受训人均成本≤</w:t>
            </w:r>
            <w:r>
              <w:rPr>
                <w:rFonts w:hint="eastAsia" w:ascii="宋体" w:cs="宋体"/>
                <w:szCs w:val="21"/>
                <w:highlight w:val="yellow"/>
                <w:lang w:val="en-US" w:eastAsia="zh-CN"/>
              </w:rPr>
              <w:t>800元/人</w:t>
            </w:r>
          </w:p>
        </w:tc>
        <w:tc>
          <w:tcPr>
            <w:tcW w:w="888" w:type="dxa"/>
            <w:vAlign w:val="center"/>
          </w:tcPr>
          <w:p w14:paraId="1A731B57">
            <w:pPr>
              <w:jc w:val="center"/>
              <w:rPr>
                <w:rFonts w:hint="default" w:eastAsia="宋体"/>
                <w:sz w:val="20"/>
                <w:szCs w:val="20"/>
                <w:lang w:val="en-US" w:eastAsia="zh-CN"/>
              </w:rPr>
            </w:pPr>
            <w:r>
              <w:rPr>
                <w:rFonts w:hint="eastAsia"/>
                <w:sz w:val="20"/>
                <w:szCs w:val="20"/>
                <w:lang w:val="en-US" w:eastAsia="zh-CN"/>
              </w:rPr>
              <w:t>100%</w:t>
            </w:r>
          </w:p>
        </w:tc>
        <w:tc>
          <w:tcPr>
            <w:tcW w:w="888" w:type="dxa"/>
            <w:vAlign w:val="center"/>
          </w:tcPr>
          <w:p w14:paraId="677EBCC7">
            <w:pPr>
              <w:jc w:val="center"/>
              <w:rPr>
                <w:rFonts w:hint="default" w:eastAsia="宋体"/>
                <w:sz w:val="20"/>
                <w:szCs w:val="20"/>
                <w:lang w:val="en-US" w:eastAsia="zh-CN"/>
              </w:rPr>
            </w:pPr>
            <w:r>
              <w:rPr>
                <w:rFonts w:hint="eastAsia"/>
                <w:sz w:val="20"/>
                <w:szCs w:val="20"/>
                <w:lang w:val="en-US" w:eastAsia="zh-CN"/>
              </w:rPr>
              <w:t>90%</w:t>
            </w:r>
          </w:p>
        </w:tc>
        <w:tc>
          <w:tcPr>
            <w:tcW w:w="888" w:type="dxa"/>
            <w:vAlign w:val="center"/>
          </w:tcPr>
          <w:p w14:paraId="7D7F1A03">
            <w:pPr>
              <w:jc w:val="center"/>
              <w:rPr>
                <w:rFonts w:hint="default" w:eastAsia="宋体"/>
                <w:sz w:val="20"/>
                <w:szCs w:val="20"/>
                <w:lang w:val="en-US" w:eastAsia="zh-CN"/>
              </w:rPr>
            </w:pPr>
            <w:r>
              <w:rPr>
                <w:rFonts w:hint="eastAsia"/>
                <w:sz w:val="20"/>
                <w:szCs w:val="20"/>
                <w:lang w:val="en-US" w:eastAsia="zh-CN"/>
              </w:rPr>
              <w:t>70%</w:t>
            </w:r>
          </w:p>
        </w:tc>
        <w:tc>
          <w:tcPr>
            <w:tcW w:w="888" w:type="dxa"/>
            <w:gridSpan w:val="2"/>
            <w:vAlign w:val="center"/>
          </w:tcPr>
          <w:p w14:paraId="595F0F12">
            <w:pPr>
              <w:jc w:val="center"/>
              <w:rPr>
                <w:rFonts w:hint="default" w:eastAsia="宋体"/>
                <w:sz w:val="20"/>
                <w:szCs w:val="20"/>
                <w:lang w:val="en-US" w:eastAsia="zh-CN"/>
              </w:rPr>
            </w:pPr>
            <w:r>
              <w:rPr>
                <w:rFonts w:hint="eastAsia"/>
                <w:sz w:val="20"/>
                <w:szCs w:val="20"/>
                <w:lang w:val="en-US" w:eastAsia="zh-CN"/>
              </w:rPr>
              <w:t>50%</w:t>
            </w:r>
          </w:p>
        </w:tc>
        <w:tc>
          <w:tcPr>
            <w:tcW w:w="2425" w:type="dxa"/>
            <w:vAlign w:val="center"/>
          </w:tcPr>
          <w:p w14:paraId="36D994E5">
            <w:pPr>
              <w:jc w:val="left"/>
              <w:rPr>
                <w:rFonts w:ascii="宋体" w:hAnsi="宋体" w:cs="宋体"/>
                <w:szCs w:val="21"/>
              </w:rPr>
            </w:pPr>
            <w:r>
              <w:rPr>
                <w:rFonts w:hint="eastAsia" w:ascii="宋体" w:hAnsi="宋体" w:cs="宋体"/>
                <w:szCs w:val="21"/>
              </w:rPr>
              <w:t>》</w:t>
            </w:r>
            <w:r>
              <w:rPr>
                <w:rFonts w:ascii="宋体" w:hAnsi="宋体" w:cs="宋体"/>
                <w:szCs w:val="21"/>
              </w:rPr>
              <w:t>90%</w:t>
            </w:r>
          </w:p>
          <w:p w14:paraId="14AB5C59">
            <w:pPr>
              <w:jc w:val="left"/>
              <w:rPr>
                <w:rFonts w:ascii="宋体" w:hAnsi="宋体" w:cs="宋体"/>
                <w:szCs w:val="21"/>
              </w:rPr>
            </w:pPr>
          </w:p>
        </w:tc>
      </w:tr>
      <w:tr w14:paraId="56B75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440" w:type="dxa"/>
            <w:vAlign w:val="center"/>
          </w:tcPr>
          <w:p w14:paraId="49D02677">
            <w:pPr>
              <w:jc w:val="center"/>
              <w:rPr>
                <w:sz w:val="20"/>
                <w:szCs w:val="20"/>
              </w:rPr>
            </w:pPr>
            <w:r>
              <w:rPr>
                <w:sz w:val="20"/>
                <w:szCs w:val="20"/>
              </w:rPr>
              <w:t>2</w:t>
            </w:r>
          </w:p>
        </w:tc>
        <w:tc>
          <w:tcPr>
            <w:tcW w:w="1936" w:type="dxa"/>
            <w:gridSpan w:val="2"/>
            <w:vAlign w:val="center"/>
          </w:tcPr>
          <w:p w14:paraId="436367CB">
            <w:pPr>
              <w:jc w:val="center"/>
              <w:rPr>
                <w:sz w:val="20"/>
                <w:szCs w:val="20"/>
              </w:rPr>
            </w:pPr>
            <w:r>
              <w:rPr>
                <w:rFonts w:hint="eastAsia"/>
                <w:sz w:val="20"/>
                <w:szCs w:val="20"/>
              </w:rPr>
              <w:t>效果指标</w:t>
            </w:r>
          </w:p>
        </w:tc>
        <w:tc>
          <w:tcPr>
            <w:tcW w:w="2502" w:type="dxa"/>
            <w:vAlign w:val="center"/>
          </w:tcPr>
          <w:p w14:paraId="02A72AB5">
            <w:pPr>
              <w:numPr>
                <w:ilvl w:val="0"/>
                <w:numId w:val="4"/>
              </w:numPr>
              <w:rPr>
                <w:rFonts w:ascii="宋体" w:cs="宋体"/>
                <w:szCs w:val="21"/>
              </w:rPr>
            </w:pPr>
            <w:r>
              <w:rPr>
                <w:rFonts w:hint="eastAsia" w:ascii="宋体" w:hAnsi="宋体" w:cs="宋体"/>
                <w:szCs w:val="21"/>
              </w:rPr>
              <w:t>经济效益指标</w:t>
            </w:r>
          </w:p>
          <w:p w14:paraId="5C795F59">
            <w:pPr>
              <w:numPr>
                <w:ilvl w:val="0"/>
                <w:numId w:val="4"/>
              </w:numPr>
              <w:rPr>
                <w:rFonts w:ascii="宋体" w:cs="宋体"/>
                <w:szCs w:val="21"/>
              </w:rPr>
            </w:pPr>
            <w:r>
              <w:rPr>
                <w:rFonts w:hint="eastAsia" w:ascii="宋体" w:hAnsi="宋体" w:cs="宋体"/>
                <w:szCs w:val="21"/>
              </w:rPr>
              <w:t>社会效益指标</w:t>
            </w:r>
          </w:p>
          <w:p w14:paraId="0FE7CBFD">
            <w:pPr>
              <w:numPr>
                <w:ilvl w:val="0"/>
                <w:numId w:val="4"/>
              </w:numPr>
              <w:rPr>
                <w:rFonts w:ascii="宋体" w:cs="宋体"/>
                <w:szCs w:val="21"/>
              </w:rPr>
            </w:pPr>
            <w:r>
              <w:rPr>
                <w:rFonts w:hint="eastAsia" w:ascii="宋体" w:hAnsi="宋体" w:cs="宋体"/>
                <w:szCs w:val="21"/>
              </w:rPr>
              <w:t>可持续影响指标</w:t>
            </w:r>
          </w:p>
        </w:tc>
        <w:tc>
          <w:tcPr>
            <w:tcW w:w="3444" w:type="dxa"/>
            <w:gridSpan w:val="2"/>
            <w:vAlign w:val="center"/>
          </w:tcPr>
          <w:p w14:paraId="22A479E3">
            <w:pPr>
              <w:numPr>
                <w:ilvl w:val="0"/>
                <w:numId w:val="5"/>
              </w:numPr>
              <w:jc w:val="left"/>
              <w:rPr>
                <w:rFonts w:hint="eastAsia" w:ascii="宋体" w:cs="宋体"/>
                <w:szCs w:val="21"/>
                <w:lang w:val="en-US" w:eastAsia="zh-CN"/>
              </w:rPr>
            </w:pPr>
            <w:r>
              <w:rPr>
                <w:rFonts w:hint="eastAsia" w:ascii="宋体" w:cs="宋体"/>
                <w:szCs w:val="21"/>
                <w:lang w:val="en-US" w:eastAsia="zh-CN"/>
              </w:rPr>
              <w:t>支撑实验课程门数1门</w:t>
            </w:r>
          </w:p>
          <w:p w14:paraId="2CFDF9E9">
            <w:pPr>
              <w:numPr>
                <w:ilvl w:val="0"/>
                <w:numId w:val="5"/>
              </w:numPr>
              <w:jc w:val="left"/>
              <w:rPr>
                <w:rFonts w:hint="default" w:ascii="宋体" w:cs="宋体"/>
                <w:szCs w:val="21"/>
                <w:lang w:val="en-US" w:eastAsia="zh-CN"/>
              </w:rPr>
            </w:pPr>
            <w:r>
              <w:rPr>
                <w:rFonts w:hint="default" w:ascii="宋体" w:cs="宋体"/>
                <w:szCs w:val="21"/>
                <w:lang w:val="en-US" w:eastAsia="zh-CN"/>
              </w:rPr>
              <w:t>可作为开发平台，对外服务，服务人数≥10000</w:t>
            </w:r>
          </w:p>
          <w:p w14:paraId="4932FCFF">
            <w:pPr>
              <w:numPr>
                <w:ilvl w:val="0"/>
                <w:numId w:val="5"/>
              </w:numPr>
              <w:jc w:val="left"/>
              <w:rPr>
                <w:rFonts w:hint="default" w:ascii="宋体" w:cs="宋体"/>
                <w:szCs w:val="21"/>
                <w:lang w:val="en-US" w:eastAsia="zh-CN"/>
              </w:rPr>
            </w:pPr>
            <w:r>
              <w:rPr>
                <w:rFonts w:hint="default" w:ascii="宋体" w:cs="宋体"/>
                <w:szCs w:val="21"/>
                <w:lang w:val="en-US" w:eastAsia="zh-CN"/>
              </w:rPr>
              <w:t>提升本校</w:t>
            </w:r>
            <w:r>
              <w:rPr>
                <w:rFonts w:hint="eastAsia" w:ascii="宋体" w:cs="宋体"/>
                <w:szCs w:val="21"/>
                <w:lang w:val="en-US" w:eastAsia="zh-CN"/>
              </w:rPr>
              <w:t>智慧物流</w:t>
            </w:r>
            <w:r>
              <w:rPr>
                <w:rFonts w:hint="default" w:ascii="宋体" w:cs="宋体"/>
                <w:szCs w:val="21"/>
                <w:lang w:val="en-US" w:eastAsia="zh-CN"/>
              </w:rPr>
              <w:t>实验室建设实力，知名度</w:t>
            </w:r>
          </w:p>
        </w:tc>
        <w:tc>
          <w:tcPr>
            <w:tcW w:w="888" w:type="dxa"/>
            <w:vAlign w:val="center"/>
          </w:tcPr>
          <w:p w14:paraId="6EE4CC53">
            <w:pPr>
              <w:jc w:val="center"/>
              <w:rPr>
                <w:sz w:val="20"/>
                <w:szCs w:val="20"/>
              </w:rPr>
            </w:pPr>
            <w:r>
              <w:rPr>
                <w:rFonts w:hint="eastAsia"/>
                <w:sz w:val="20"/>
                <w:szCs w:val="20"/>
                <w:lang w:val="en-US" w:eastAsia="zh-CN"/>
              </w:rPr>
              <w:t>100%</w:t>
            </w:r>
          </w:p>
        </w:tc>
        <w:tc>
          <w:tcPr>
            <w:tcW w:w="888" w:type="dxa"/>
            <w:vAlign w:val="center"/>
          </w:tcPr>
          <w:p w14:paraId="41DD228E">
            <w:pPr>
              <w:jc w:val="center"/>
              <w:rPr>
                <w:rFonts w:hint="default" w:ascii="Calibri" w:hAnsi="Calibri" w:eastAsia="宋体" w:cs="Times New Roman"/>
                <w:kern w:val="2"/>
                <w:sz w:val="20"/>
                <w:szCs w:val="20"/>
                <w:lang w:val="en-US" w:eastAsia="zh-CN" w:bidi="ar-SA"/>
              </w:rPr>
            </w:pPr>
            <w:r>
              <w:rPr>
                <w:rFonts w:hint="eastAsia"/>
                <w:sz w:val="20"/>
                <w:szCs w:val="20"/>
                <w:lang w:val="en-US" w:eastAsia="zh-CN"/>
              </w:rPr>
              <w:t>90%</w:t>
            </w:r>
          </w:p>
        </w:tc>
        <w:tc>
          <w:tcPr>
            <w:tcW w:w="888" w:type="dxa"/>
            <w:vAlign w:val="center"/>
          </w:tcPr>
          <w:p w14:paraId="1F14476F">
            <w:pPr>
              <w:jc w:val="center"/>
              <w:rPr>
                <w:rFonts w:hint="default" w:ascii="Calibri" w:hAnsi="Calibri" w:eastAsia="宋体" w:cs="Times New Roman"/>
                <w:kern w:val="2"/>
                <w:sz w:val="20"/>
                <w:szCs w:val="20"/>
                <w:lang w:val="en-US" w:eastAsia="zh-CN" w:bidi="ar-SA"/>
              </w:rPr>
            </w:pPr>
            <w:r>
              <w:rPr>
                <w:rFonts w:hint="eastAsia"/>
                <w:sz w:val="20"/>
                <w:szCs w:val="20"/>
                <w:lang w:val="en-US" w:eastAsia="zh-CN"/>
              </w:rPr>
              <w:t>70%</w:t>
            </w:r>
          </w:p>
        </w:tc>
        <w:tc>
          <w:tcPr>
            <w:tcW w:w="888" w:type="dxa"/>
            <w:gridSpan w:val="2"/>
            <w:vAlign w:val="center"/>
          </w:tcPr>
          <w:p w14:paraId="2F06EB94">
            <w:pPr>
              <w:jc w:val="center"/>
              <w:rPr>
                <w:rFonts w:hint="default" w:ascii="Calibri" w:hAnsi="Calibri" w:eastAsia="宋体" w:cs="Times New Roman"/>
                <w:kern w:val="2"/>
                <w:sz w:val="20"/>
                <w:szCs w:val="20"/>
                <w:lang w:val="en-US" w:eastAsia="zh-CN" w:bidi="ar-SA"/>
              </w:rPr>
            </w:pPr>
            <w:r>
              <w:rPr>
                <w:rFonts w:hint="eastAsia"/>
                <w:sz w:val="20"/>
                <w:szCs w:val="20"/>
                <w:lang w:val="en-US" w:eastAsia="zh-CN"/>
              </w:rPr>
              <w:t>50%</w:t>
            </w:r>
          </w:p>
        </w:tc>
        <w:tc>
          <w:tcPr>
            <w:tcW w:w="2425" w:type="dxa"/>
            <w:vAlign w:val="center"/>
          </w:tcPr>
          <w:p w14:paraId="02BE519A">
            <w:pPr>
              <w:jc w:val="left"/>
              <w:rPr>
                <w:rFonts w:ascii="宋体" w:hAnsi="宋体" w:cs="宋体"/>
                <w:szCs w:val="21"/>
              </w:rPr>
            </w:pPr>
            <w:r>
              <w:rPr>
                <w:rFonts w:hint="eastAsia" w:ascii="宋体" w:hAnsi="宋体" w:cs="宋体"/>
                <w:szCs w:val="21"/>
              </w:rPr>
              <w:t>》</w:t>
            </w:r>
            <w:r>
              <w:rPr>
                <w:rFonts w:ascii="宋体" w:hAnsi="宋体" w:cs="宋体"/>
                <w:szCs w:val="21"/>
              </w:rPr>
              <w:t>90%</w:t>
            </w:r>
          </w:p>
          <w:p w14:paraId="7A226B0B">
            <w:pPr>
              <w:jc w:val="left"/>
              <w:rPr>
                <w:rFonts w:ascii="宋体" w:hAnsi="宋体" w:cs="宋体"/>
                <w:szCs w:val="21"/>
              </w:rPr>
            </w:pPr>
          </w:p>
        </w:tc>
      </w:tr>
      <w:tr w14:paraId="798BC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440" w:type="dxa"/>
            <w:vAlign w:val="center"/>
          </w:tcPr>
          <w:p w14:paraId="18E99DFA">
            <w:pPr>
              <w:jc w:val="center"/>
              <w:rPr>
                <w:sz w:val="20"/>
                <w:szCs w:val="20"/>
              </w:rPr>
            </w:pPr>
            <w:r>
              <w:rPr>
                <w:sz w:val="20"/>
                <w:szCs w:val="20"/>
              </w:rPr>
              <w:t>3</w:t>
            </w:r>
          </w:p>
        </w:tc>
        <w:tc>
          <w:tcPr>
            <w:tcW w:w="1936" w:type="dxa"/>
            <w:gridSpan w:val="2"/>
            <w:vAlign w:val="center"/>
          </w:tcPr>
          <w:p w14:paraId="50A4B3E9">
            <w:pPr>
              <w:jc w:val="center"/>
              <w:rPr>
                <w:sz w:val="20"/>
                <w:szCs w:val="20"/>
              </w:rPr>
            </w:pPr>
            <w:r>
              <w:rPr>
                <w:rFonts w:hint="eastAsia"/>
                <w:sz w:val="20"/>
                <w:szCs w:val="20"/>
              </w:rPr>
              <w:t>满意度指标</w:t>
            </w:r>
          </w:p>
        </w:tc>
        <w:tc>
          <w:tcPr>
            <w:tcW w:w="2502" w:type="dxa"/>
            <w:vAlign w:val="center"/>
          </w:tcPr>
          <w:p w14:paraId="6BE04243">
            <w:pPr>
              <w:jc w:val="left"/>
              <w:rPr>
                <w:rFonts w:ascii="宋体" w:cs="宋体"/>
                <w:szCs w:val="21"/>
              </w:rPr>
            </w:pPr>
            <w:r>
              <w:rPr>
                <w:rFonts w:hint="eastAsia" w:ascii="宋体" w:hAnsi="宋体" w:cs="宋体"/>
                <w:szCs w:val="21"/>
              </w:rPr>
              <w:t>服务对象满意度指标</w:t>
            </w:r>
          </w:p>
        </w:tc>
        <w:tc>
          <w:tcPr>
            <w:tcW w:w="3444" w:type="dxa"/>
            <w:gridSpan w:val="2"/>
            <w:vAlign w:val="center"/>
          </w:tcPr>
          <w:p w14:paraId="26F65CBB">
            <w:pPr>
              <w:jc w:val="left"/>
              <w:rPr>
                <w:rFonts w:ascii="宋体" w:cs="宋体"/>
                <w:szCs w:val="21"/>
              </w:rPr>
            </w:pPr>
            <w:r>
              <w:rPr>
                <w:rFonts w:hint="eastAsia" w:ascii="宋体" w:hAnsi="宋体" w:cs="宋体"/>
                <w:szCs w:val="21"/>
              </w:rPr>
              <w:t>对项目所提供服务的教师、学生等满意度达到</w:t>
            </w:r>
            <w:r>
              <w:rPr>
                <w:rFonts w:ascii="宋体" w:hAnsi="宋体" w:cs="宋体"/>
                <w:szCs w:val="21"/>
              </w:rPr>
              <w:t>95%</w:t>
            </w:r>
            <w:r>
              <w:rPr>
                <w:rFonts w:hint="eastAsia" w:ascii="宋体" w:hAnsi="宋体" w:cs="宋体"/>
                <w:szCs w:val="21"/>
              </w:rPr>
              <w:t>以上。</w:t>
            </w:r>
          </w:p>
        </w:tc>
        <w:tc>
          <w:tcPr>
            <w:tcW w:w="888" w:type="dxa"/>
            <w:vAlign w:val="center"/>
          </w:tcPr>
          <w:p w14:paraId="71307DE6">
            <w:pPr>
              <w:jc w:val="left"/>
              <w:rPr>
                <w:rFonts w:ascii="宋体" w:cs="宋体"/>
                <w:szCs w:val="21"/>
              </w:rPr>
            </w:pPr>
            <w:r>
              <w:rPr>
                <w:rFonts w:hint="eastAsia"/>
                <w:sz w:val="20"/>
                <w:szCs w:val="20"/>
                <w:lang w:val="en-US" w:eastAsia="zh-CN"/>
              </w:rPr>
              <w:t>100%</w:t>
            </w:r>
          </w:p>
        </w:tc>
        <w:tc>
          <w:tcPr>
            <w:tcW w:w="888" w:type="dxa"/>
            <w:vAlign w:val="center"/>
          </w:tcPr>
          <w:p w14:paraId="711EDADF">
            <w:pPr>
              <w:jc w:val="center"/>
              <w:rPr>
                <w:rFonts w:hint="default" w:ascii="Calibri" w:hAnsi="Calibri" w:eastAsia="宋体" w:cs="Times New Roman"/>
                <w:kern w:val="2"/>
                <w:sz w:val="20"/>
                <w:szCs w:val="20"/>
                <w:lang w:val="en-US" w:eastAsia="zh-CN" w:bidi="ar-SA"/>
              </w:rPr>
            </w:pPr>
            <w:r>
              <w:rPr>
                <w:rFonts w:hint="eastAsia"/>
                <w:sz w:val="20"/>
                <w:szCs w:val="20"/>
                <w:lang w:val="en-US" w:eastAsia="zh-CN"/>
              </w:rPr>
              <w:t>90%</w:t>
            </w:r>
          </w:p>
        </w:tc>
        <w:tc>
          <w:tcPr>
            <w:tcW w:w="888" w:type="dxa"/>
            <w:vAlign w:val="center"/>
          </w:tcPr>
          <w:p w14:paraId="7DEB059C">
            <w:pPr>
              <w:jc w:val="center"/>
              <w:rPr>
                <w:rFonts w:hint="default" w:ascii="Calibri" w:hAnsi="Calibri" w:eastAsia="宋体" w:cs="Times New Roman"/>
                <w:kern w:val="2"/>
                <w:sz w:val="20"/>
                <w:szCs w:val="20"/>
                <w:lang w:val="en-US" w:eastAsia="zh-CN" w:bidi="ar-SA"/>
              </w:rPr>
            </w:pPr>
            <w:r>
              <w:rPr>
                <w:rFonts w:hint="eastAsia"/>
                <w:sz w:val="20"/>
                <w:szCs w:val="20"/>
                <w:lang w:val="en-US" w:eastAsia="zh-CN"/>
              </w:rPr>
              <w:t>70%</w:t>
            </w:r>
          </w:p>
        </w:tc>
        <w:tc>
          <w:tcPr>
            <w:tcW w:w="888" w:type="dxa"/>
            <w:gridSpan w:val="2"/>
            <w:vAlign w:val="center"/>
          </w:tcPr>
          <w:p w14:paraId="75EB02FD">
            <w:pPr>
              <w:jc w:val="center"/>
              <w:rPr>
                <w:rFonts w:hint="default" w:ascii="Calibri" w:hAnsi="Calibri" w:eastAsia="宋体" w:cs="Times New Roman"/>
                <w:kern w:val="2"/>
                <w:sz w:val="20"/>
                <w:szCs w:val="20"/>
                <w:lang w:val="en-US" w:eastAsia="zh-CN" w:bidi="ar-SA"/>
              </w:rPr>
            </w:pPr>
            <w:r>
              <w:rPr>
                <w:rFonts w:hint="eastAsia"/>
                <w:sz w:val="20"/>
                <w:szCs w:val="20"/>
                <w:lang w:val="en-US" w:eastAsia="zh-CN"/>
              </w:rPr>
              <w:t>50%</w:t>
            </w:r>
          </w:p>
        </w:tc>
        <w:tc>
          <w:tcPr>
            <w:tcW w:w="2425" w:type="dxa"/>
            <w:vAlign w:val="center"/>
          </w:tcPr>
          <w:p w14:paraId="61A3415D">
            <w:pPr>
              <w:jc w:val="left"/>
              <w:rPr>
                <w:rFonts w:ascii="宋体" w:hAnsi="宋体" w:cs="宋体"/>
                <w:szCs w:val="21"/>
              </w:rPr>
            </w:pPr>
            <w:r>
              <w:rPr>
                <w:rFonts w:hint="eastAsia" w:ascii="宋体" w:hAnsi="宋体" w:cs="宋体"/>
                <w:szCs w:val="21"/>
              </w:rPr>
              <w:t>》</w:t>
            </w:r>
            <w:r>
              <w:rPr>
                <w:rFonts w:ascii="宋体" w:hAnsi="宋体" w:cs="宋体"/>
                <w:szCs w:val="21"/>
              </w:rPr>
              <w:t>95%</w:t>
            </w:r>
          </w:p>
          <w:p w14:paraId="59C2F0DB">
            <w:pPr>
              <w:jc w:val="left"/>
              <w:rPr>
                <w:rFonts w:ascii="宋体" w:hAnsi="宋体" w:cs="宋体"/>
                <w:szCs w:val="21"/>
              </w:rPr>
            </w:pPr>
          </w:p>
        </w:tc>
      </w:tr>
    </w:tbl>
    <w:p w14:paraId="1BBAF5EF">
      <w:pPr>
        <w:rPr>
          <w:rFonts w:ascii="宋体" w:cs="宋体"/>
          <w:b/>
          <w:bCs/>
          <w:kern w:val="0"/>
          <w:sz w:val="18"/>
          <w:szCs w:val="18"/>
        </w:rPr>
      </w:pPr>
    </w:p>
    <w:p w14:paraId="2A2E34E0">
      <w:pPr>
        <w:ind w:left="1020" w:leftChars="200" w:hanging="600" w:hangingChars="300"/>
        <w:rPr>
          <w:rFonts w:ascii="宋体"/>
          <w:sz w:val="20"/>
          <w:szCs w:val="20"/>
        </w:rPr>
      </w:pPr>
      <w:r>
        <w:rPr>
          <w:rFonts w:hint="eastAsia" w:ascii="宋体" w:hAnsi="宋体"/>
          <w:sz w:val="20"/>
          <w:szCs w:val="20"/>
        </w:rPr>
        <w:t>注：①绩效指标从产出、效果等方面进行描述，但不能出现产出、效果等文字；</w:t>
      </w:r>
    </w:p>
    <w:p w14:paraId="35824B99">
      <w:pPr>
        <w:ind w:left="1027" w:leftChars="394" w:hanging="200" w:hangingChars="100"/>
        <w:rPr>
          <w:rFonts w:ascii="宋体"/>
          <w:sz w:val="20"/>
          <w:szCs w:val="20"/>
        </w:rPr>
      </w:pPr>
      <w:r>
        <w:rPr>
          <w:rFonts w:hint="eastAsia" w:ascii="宋体" w:hAnsi="宋体"/>
          <w:sz w:val="20"/>
          <w:szCs w:val="20"/>
        </w:rPr>
        <w:t>②指标描述是对绩效指标的具体解释、分析和描述；</w:t>
      </w:r>
    </w:p>
    <w:p w14:paraId="6D3F8F30">
      <w:pPr>
        <w:ind w:firstLine="800" w:firstLineChars="400"/>
        <w:rPr>
          <w:rFonts w:ascii="宋体"/>
          <w:sz w:val="20"/>
          <w:szCs w:val="20"/>
        </w:rPr>
        <w:sectPr>
          <w:pgSz w:w="16838" w:h="11906" w:orient="landscape"/>
          <w:pgMar w:top="1361" w:right="1247" w:bottom="1474" w:left="1474" w:header="743" w:footer="1021" w:gutter="0"/>
          <w:cols w:space="425" w:num="1"/>
          <w:docGrid w:linePitch="312" w:charSpace="0"/>
        </w:sectPr>
      </w:pPr>
      <w:r>
        <w:rPr>
          <w:rFonts w:hint="eastAsia" w:ascii="宋体" w:hAnsi="宋体"/>
          <w:sz w:val="20"/>
          <w:szCs w:val="20"/>
        </w:rPr>
        <w:t>③指标评价标准为自行设定的绩效指标的优、良、中、差四个等级的完成百分比。</w:t>
      </w:r>
    </w:p>
    <w:tbl>
      <w:tblPr>
        <w:tblStyle w:val="13"/>
        <w:tblW w:w="14190" w:type="dxa"/>
        <w:tblInd w:w="93" w:type="dxa"/>
        <w:tblLayout w:type="fixed"/>
        <w:tblCellMar>
          <w:top w:w="0" w:type="dxa"/>
          <w:left w:w="108" w:type="dxa"/>
          <w:bottom w:w="0" w:type="dxa"/>
          <w:right w:w="108" w:type="dxa"/>
        </w:tblCellMar>
      </w:tblPr>
      <w:tblGrid>
        <w:gridCol w:w="1091"/>
        <w:gridCol w:w="2326"/>
        <w:gridCol w:w="5387"/>
        <w:gridCol w:w="1186"/>
        <w:gridCol w:w="876"/>
        <w:gridCol w:w="1340"/>
        <w:gridCol w:w="736"/>
        <w:gridCol w:w="1248"/>
      </w:tblGrid>
      <w:tr w14:paraId="0C18F475">
        <w:tblPrEx>
          <w:tblCellMar>
            <w:top w:w="0" w:type="dxa"/>
            <w:left w:w="108" w:type="dxa"/>
            <w:bottom w:w="0" w:type="dxa"/>
            <w:right w:w="108" w:type="dxa"/>
          </w:tblCellMar>
        </w:tblPrEx>
        <w:trPr>
          <w:trHeight w:val="870" w:hRule="atLeast"/>
        </w:trPr>
        <w:tc>
          <w:tcPr>
            <w:tcW w:w="14190" w:type="dxa"/>
            <w:gridSpan w:val="8"/>
            <w:tcBorders>
              <w:top w:val="nil"/>
              <w:left w:val="nil"/>
              <w:bottom w:val="nil"/>
              <w:right w:val="nil"/>
            </w:tcBorders>
            <w:noWrap/>
            <w:vAlign w:val="center"/>
          </w:tcPr>
          <w:p w14:paraId="288D99BB">
            <w:pPr>
              <w:numPr>
                <w:ilvl w:val="0"/>
                <w:numId w:val="3"/>
              </w:numPr>
              <w:ind w:left="550" w:firstLine="0"/>
              <w:jc w:val="left"/>
              <w:rPr>
                <w:rFonts w:ascii="宋体" w:cs="宋体"/>
                <w:b/>
                <w:bCs/>
                <w:color w:val="000000"/>
                <w:kern w:val="0"/>
                <w:sz w:val="32"/>
                <w:szCs w:val="32"/>
              </w:rPr>
            </w:pPr>
            <w:r>
              <w:rPr>
                <w:rFonts w:hint="eastAsia" w:ascii="宋体" w:hAnsi="宋体" w:cs="宋体"/>
                <w:b/>
                <w:bCs/>
                <w:color w:val="000000"/>
                <w:kern w:val="0"/>
                <w:sz w:val="32"/>
                <w:szCs w:val="32"/>
              </w:rPr>
              <w:t>项目购置汇总表</w:t>
            </w:r>
          </w:p>
        </w:tc>
      </w:tr>
      <w:tr w14:paraId="6927C584">
        <w:tblPrEx>
          <w:tblCellMar>
            <w:top w:w="0" w:type="dxa"/>
            <w:left w:w="108" w:type="dxa"/>
            <w:bottom w:w="0" w:type="dxa"/>
            <w:right w:w="108" w:type="dxa"/>
          </w:tblCellMar>
        </w:tblPrEx>
        <w:trPr>
          <w:trHeight w:val="480" w:hRule="atLeast"/>
        </w:trPr>
        <w:tc>
          <w:tcPr>
            <w:tcW w:w="3417" w:type="dxa"/>
            <w:gridSpan w:val="2"/>
            <w:tcBorders>
              <w:top w:val="nil"/>
              <w:left w:val="nil"/>
              <w:bottom w:val="nil"/>
              <w:right w:val="nil"/>
            </w:tcBorders>
            <w:noWrap/>
            <w:vAlign w:val="center"/>
          </w:tcPr>
          <w:p w14:paraId="7E7416ED">
            <w:pPr>
              <w:widowControl/>
              <w:jc w:val="left"/>
              <w:rPr>
                <w:rFonts w:ascii="宋体" w:cs="宋体"/>
                <w:color w:val="000000"/>
                <w:kern w:val="0"/>
                <w:szCs w:val="21"/>
              </w:rPr>
            </w:pPr>
          </w:p>
        </w:tc>
        <w:tc>
          <w:tcPr>
            <w:tcW w:w="5387" w:type="dxa"/>
            <w:tcBorders>
              <w:top w:val="nil"/>
              <w:left w:val="nil"/>
              <w:bottom w:val="nil"/>
              <w:right w:val="nil"/>
            </w:tcBorders>
            <w:noWrap/>
            <w:vAlign w:val="center"/>
          </w:tcPr>
          <w:p w14:paraId="43D28D33">
            <w:pPr>
              <w:widowControl/>
              <w:jc w:val="left"/>
              <w:rPr>
                <w:rFonts w:ascii="宋体" w:cs="宋体"/>
                <w:color w:val="000000"/>
                <w:kern w:val="0"/>
                <w:szCs w:val="21"/>
              </w:rPr>
            </w:pPr>
          </w:p>
        </w:tc>
        <w:tc>
          <w:tcPr>
            <w:tcW w:w="1186" w:type="dxa"/>
            <w:tcBorders>
              <w:top w:val="nil"/>
              <w:left w:val="nil"/>
              <w:bottom w:val="nil"/>
              <w:right w:val="nil"/>
            </w:tcBorders>
            <w:noWrap/>
            <w:vAlign w:val="center"/>
          </w:tcPr>
          <w:p w14:paraId="7AC4217F">
            <w:pPr>
              <w:widowControl/>
              <w:jc w:val="left"/>
              <w:rPr>
                <w:rFonts w:ascii="宋体" w:cs="宋体"/>
                <w:color w:val="000000"/>
                <w:kern w:val="0"/>
                <w:szCs w:val="21"/>
              </w:rPr>
            </w:pPr>
          </w:p>
        </w:tc>
        <w:tc>
          <w:tcPr>
            <w:tcW w:w="876" w:type="dxa"/>
            <w:tcBorders>
              <w:top w:val="nil"/>
              <w:left w:val="nil"/>
              <w:bottom w:val="nil"/>
              <w:right w:val="nil"/>
            </w:tcBorders>
            <w:noWrap/>
            <w:vAlign w:val="center"/>
          </w:tcPr>
          <w:p w14:paraId="47939DEE">
            <w:pPr>
              <w:widowControl/>
              <w:jc w:val="left"/>
              <w:rPr>
                <w:rFonts w:ascii="宋体" w:cs="宋体"/>
                <w:color w:val="000000"/>
                <w:kern w:val="0"/>
                <w:szCs w:val="21"/>
              </w:rPr>
            </w:pPr>
          </w:p>
        </w:tc>
        <w:tc>
          <w:tcPr>
            <w:tcW w:w="1340" w:type="dxa"/>
            <w:tcBorders>
              <w:top w:val="nil"/>
              <w:left w:val="nil"/>
              <w:bottom w:val="nil"/>
              <w:right w:val="nil"/>
            </w:tcBorders>
            <w:noWrap/>
            <w:vAlign w:val="center"/>
          </w:tcPr>
          <w:p w14:paraId="688DCD99">
            <w:pPr>
              <w:widowControl/>
              <w:jc w:val="left"/>
              <w:rPr>
                <w:rFonts w:ascii="宋体" w:cs="宋体"/>
                <w:color w:val="000000"/>
                <w:kern w:val="0"/>
                <w:szCs w:val="21"/>
              </w:rPr>
            </w:pPr>
          </w:p>
        </w:tc>
        <w:tc>
          <w:tcPr>
            <w:tcW w:w="736" w:type="dxa"/>
            <w:tcBorders>
              <w:top w:val="nil"/>
              <w:left w:val="nil"/>
              <w:bottom w:val="nil"/>
              <w:right w:val="nil"/>
            </w:tcBorders>
            <w:noWrap/>
            <w:vAlign w:val="center"/>
          </w:tcPr>
          <w:p w14:paraId="03870887">
            <w:pPr>
              <w:widowControl/>
              <w:jc w:val="left"/>
              <w:rPr>
                <w:rFonts w:ascii="宋体" w:cs="宋体"/>
                <w:color w:val="000000"/>
                <w:kern w:val="0"/>
                <w:szCs w:val="21"/>
              </w:rPr>
            </w:pPr>
          </w:p>
        </w:tc>
        <w:tc>
          <w:tcPr>
            <w:tcW w:w="1248" w:type="dxa"/>
            <w:tcBorders>
              <w:top w:val="nil"/>
              <w:left w:val="nil"/>
              <w:bottom w:val="nil"/>
              <w:right w:val="nil"/>
            </w:tcBorders>
            <w:noWrap/>
            <w:vAlign w:val="center"/>
          </w:tcPr>
          <w:p w14:paraId="638EE7BB">
            <w:pPr>
              <w:widowControl/>
              <w:jc w:val="left"/>
              <w:rPr>
                <w:rFonts w:ascii="宋体" w:cs="宋体"/>
                <w:color w:val="000000"/>
                <w:kern w:val="0"/>
                <w:szCs w:val="21"/>
              </w:rPr>
            </w:pPr>
            <w:r>
              <w:rPr>
                <w:rFonts w:hint="eastAsia" w:ascii="宋体" w:hAnsi="宋体" w:cs="宋体"/>
                <w:color w:val="000000"/>
                <w:kern w:val="0"/>
                <w:szCs w:val="21"/>
              </w:rPr>
              <w:t>单位：万元</w:t>
            </w:r>
          </w:p>
        </w:tc>
      </w:tr>
      <w:tr w14:paraId="0FE97571">
        <w:tblPrEx>
          <w:tblCellMar>
            <w:top w:w="0" w:type="dxa"/>
            <w:left w:w="108" w:type="dxa"/>
            <w:bottom w:w="0" w:type="dxa"/>
            <w:right w:w="108" w:type="dxa"/>
          </w:tblCellMar>
        </w:tblPrEx>
        <w:trPr>
          <w:trHeight w:val="480" w:hRule="atLeast"/>
        </w:trPr>
        <w:tc>
          <w:tcPr>
            <w:tcW w:w="1091" w:type="dxa"/>
            <w:tcBorders>
              <w:top w:val="single" w:color="auto" w:sz="4" w:space="0"/>
              <w:left w:val="single" w:color="auto" w:sz="4" w:space="0"/>
              <w:bottom w:val="single" w:color="auto" w:sz="4" w:space="0"/>
              <w:right w:val="single" w:color="auto" w:sz="4" w:space="0"/>
            </w:tcBorders>
            <w:noWrap/>
            <w:vAlign w:val="center"/>
          </w:tcPr>
          <w:p w14:paraId="337B4B1A">
            <w:pPr>
              <w:widowControl/>
              <w:jc w:val="center"/>
              <w:rPr>
                <w:rFonts w:ascii="宋体" w:cs="宋体"/>
                <w:color w:val="000000"/>
                <w:kern w:val="0"/>
                <w:szCs w:val="21"/>
              </w:rPr>
            </w:pPr>
            <w:r>
              <w:rPr>
                <w:rFonts w:hint="eastAsia" w:ascii="宋体" w:hAnsi="宋体" w:cs="宋体"/>
                <w:color w:val="000000"/>
                <w:kern w:val="0"/>
                <w:szCs w:val="21"/>
              </w:rPr>
              <w:t>序</w:t>
            </w:r>
            <w:r>
              <w:rPr>
                <w:rFonts w:ascii="宋体" w:hAnsi="宋体" w:cs="宋体"/>
                <w:color w:val="000000"/>
                <w:kern w:val="0"/>
                <w:szCs w:val="21"/>
              </w:rPr>
              <w:t xml:space="preserve"> </w:t>
            </w:r>
            <w:r>
              <w:rPr>
                <w:rFonts w:hint="eastAsia" w:ascii="宋体" w:hAnsi="宋体" w:cs="宋体"/>
                <w:color w:val="000000"/>
                <w:kern w:val="0"/>
                <w:szCs w:val="21"/>
              </w:rPr>
              <w:t>号</w:t>
            </w:r>
          </w:p>
        </w:tc>
        <w:tc>
          <w:tcPr>
            <w:tcW w:w="2326" w:type="dxa"/>
            <w:tcBorders>
              <w:top w:val="single" w:color="auto" w:sz="4" w:space="0"/>
              <w:left w:val="nil"/>
              <w:bottom w:val="single" w:color="auto" w:sz="4" w:space="0"/>
              <w:right w:val="single" w:color="auto" w:sz="4" w:space="0"/>
            </w:tcBorders>
            <w:noWrap/>
            <w:vAlign w:val="center"/>
          </w:tcPr>
          <w:p w14:paraId="40E7FDE4">
            <w:pPr>
              <w:widowControl/>
              <w:jc w:val="center"/>
              <w:rPr>
                <w:rFonts w:ascii="宋体" w:cs="宋体"/>
                <w:color w:val="000000"/>
                <w:kern w:val="0"/>
                <w:szCs w:val="21"/>
              </w:rPr>
            </w:pPr>
            <w:r>
              <w:rPr>
                <w:rFonts w:hint="eastAsia" w:ascii="宋体" w:hAnsi="宋体" w:cs="宋体"/>
                <w:color w:val="000000"/>
                <w:kern w:val="0"/>
                <w:szCs w:val="21"/>
              </w:rPr>
              <w:t>设备</w:t>
            </w:r>
            <w:r>
              <w:rPr>
                <w:rFonts w:ascii="宋体" w:hAnsi="宋体" w:cs="宋体"/>
                <w:color w:val="000000"/>
                <w:kern w:val="0"/>
                <w:szCs w:val="21"/>
              </w:rPr>
              <w:t>/</w:t>
            </w:r>
            <w:r>
              <w:rPr>
                <w:rFonts w:hint="eastAsia" w:ascii="宋体" w:hAnsi="宋体" w:cs="宋体"/>
                <w:color w:val="000000"/>
                <w:kern w:val="0"/>
                <w:szCs w:val="21"/>
              </w:rPr>
              <w:t>家具</w:t>
            </w:r>
            <w:r>
              <w:rPr>
                <w:rFonts w:ascii="宋体" w:hAnsi="宋体" w:cs="宋体"/>
                <w:color w:val="000000"/>
                <w:kern w:val="0"/>
                <w:szCs w:val="21"/>
              </w:rPr>
              <w:t>/</w:t>
            </w:r>
            <w:r>
              <w:rPr>
                <w:rFonts w:hint="eastAsia" w:ascii="宋体" w:hAnsi="宋体" w:cs="宋体"/>
                <w:color w:val="000000"/>
                <w:kern w:val="0"/>
                <w:szCs w:val="21"/>
              </w:rPr>
              <w:t>软件等名称</w:t>
            </w:r>
          </w:p>
        </w:tc>
        <w:tc>
          <w:tcPr>
            <w:tcW w:w="5387" w:type="dxa"/>
            <w:tcBorders>
              <w:top w:val="single" w:color="auto" w:sz="4" w:space="0"/>
              <w:left w:val="nil"/>
              <w:bottom w:val="single" w:color="auto" w:sz="4" w:space="0"/>
              <w:right w:val="single" w:color="auto" w:sz="4" w:space="0"/>
            </w:tcBorders>
            <w:noWrap/>
            <w:vAlign w:val="center"/>
          </w:tcPr>
          <w:p w14:paraId="0EF3235C">
            <w:pPr>
              <w:widowControl/>
              <w:jc w:val="center"/>
              <w:rPr>
                <w:rFonts w:ascii="宋体" w:cs="宋体"/>
                <w:color w:val="000000"/>
                <w:kern w:val="0"/>
                <w:szCs w:val="21"/>
              </w:rPr>
            </w:pPr>
            <w:r>
              <w:rPr>
                <w:rFonts w:hint="eastAsia" w:ascii="宋体" w:hAnsi="宋体" w:cs="宋体"/>
                <w:color w:val="000000"/>
                <w:kern w:val="0"/>
                <w:szCs w:val="21"/>
              </w:rPr>
              <w:t>技术参数及要求</w:t>
            </w:r>
          </w:p>
        </w:tc>
        <w:tc>
          <w:tcPr>
            <w:tcW w:w="1186" w:type="dxa"/>
            <w:tcBorders>
              <w:top w:val="single" w:color="auto" w:sz="4" w:space="0"/>
              <w:left w:val="nil"/>
              <w:bottom w:val="single" w:color="auto" w:sz="4" w:space="0"/>
              <w:right w:val="single" w:color="auto" w:sz="4" w:space="0"/>
            </w:tcBorders>
            <w:noWrap/>
            <w:vAlign w:val="center"/>
          </w:tcPr>
          <w:p w14:paraId="31F8687E">
            <w:pPr>
              <w:widowControl/>
              <w:jc w:val="center"/>
              <w:rPr>
                <w:rFonts w:ascii="宋体" w:cs="宋体"/>
                <w:color w:val="000000"/>
                <w:kern w:val="0"/>
                <w:szCs w:val="21"/>
              </w:rPr>
            </w:pPr>
            <w:r>
              <w:rPr>
                <w:rFonts w:hint="eastAsia" w:ascii="宋体" w:hAnsi="宋体" w:cs="宋体"/>
                <w:color w:val="000000"/>
                <w:kern w:val="0"/>
                <w:szCs w:val="21"/>
              </w:rPr>
              <w:t>单</w:t>
            </w:r>
            <w:r>
              <w:rPr>
                <w:rFonts w:ascii="宋体" w:hAnsi="宋体" w:cs="宋体"/>
                <w:color w:val="000000"/>
                <w:kern w:val="0"/>
                <w:szCs w:val="21"/>
              </w:rPr>
              <w:t xml:space="preserve"> </w:t>
            </w:r>
            <w:r>
              <w:rPr>
                <w:rFonts w:hint="eastAsia" w:ascii="宋体" w:hAnsi="宋体" w:cs="宋体"/>
                <w:color w:val="000000"/>
                <w:kern w:val="0"/>
                <w:szCs w:val="21"/>
              </w:rPr>
              <w:t>价</w:t>
            </w:r>
          </w:p>
        </w:tc>
        <w:tc>
          <w:tcPr>
            <w:tcW w:w="876" w:type="dxa"/>
            <w:tcBorders>
              <w:top w:val="single" w:color="auto" w:sz="4" w:space="0"/>
              <w:left w:val="nil"/>
              <w:bottom w:val="single" w:color="auto" w:sz="4" w:space="0"/>
              <w:right w:val="single" w:color="auto" w:sz="4" w:space="0"/>
            </w:tcBorders>
            <w:noWrap/>
            <w:vAlign w:val="center"/>
          </w:tcPr>
          <w:p w14:paraId="64F1B752">
            <w:pPr>
              <w:widowControl/>
              <w:jc w:val="center"/>
              <w:rPr>
                <w:rFonts w:ascii="宋体" w:cs="宋体"/>
                <w:color w:val="000000"/>
                <w:kern w:val="0"/>
                <w:szCs w:val="21"/>
              </w:rPr>
            </w:pPr>
            <w:r>
              <w:rPr>
                <w:rFonts w:hint="eastAsia" w:ascii="宋体" w:hAnsi="宋体" w:cs="宋体"/>
                <w:color w:val="000000"/>
                <w:kern w:val="0"/>
                <w:szCs w:val="21"/>
              </w:rPr>
              <w:t>数</w:t>
            </w:r>
            <w:r>
              <w:rPr>
                <w:rFonts w:ascii="宋体" w:hAnsi="宋体" w:cs="宋体"/>
                <w:color w:val="000000"/>
                <w:kern w:val="0"/>
                <w:szCs w:val="21"/>
              </w:rPr>
              <w:t xml:space="preserve"> </w:t>
            </w:r>
            <w:r>
              <w:rPr>
                <w:rFonts w:hint="eastAsia" w:ascii="宋体" w:hAnsi="宋体" w:cs="宋体"/>
                <w:color w:val="000000"/>
                <w:kern w:val="0"/>
                <w:szCs w:val="21"/>
              </w:rPr>
              <w:t>量</w:t>
            </w:r>
          </w:p>
        </w:tc>
        <w:tc>
          <w:tcPr>
            <w:tcW w:w="1340" w:type="dxa"/>
            <w:tcBorders>
              <w:top w:val="single" w:color="auto" w:sz="4" w:space="0"/>
              <w:left w:val="nil"/>
              <w:bottom w:val="single" w:color="auto" w:sz="4" w:space="0"/>
              <w:right w:val="single" w:color="auto" w:sz="4" w:space="0"/>
            </w:tcBorders>
            <w:noWrap/>
            <w:vAlign w:val="center"/>
          </w:tcPr>
          <w:p w14:paraId="5ACBDB98">
            <w:pPr>
              <w:widowControl/>
              <w:jc w:val="center"/>
              <w:rPr>
                <w:rFonts w:ascii="宋体" w:cs="宋体"/>
                <w:color w:val="000000"/>
                <w:kern w:val="0"/>
                <w:szCs w:val="21"/>
              </w:rPr>
            </w:pPr>
            <w:r>
              <w:rPr>
                <w:rFonts w:hint="eastAsia" w:ascii="宋体" w:hAnsi="宋体" w:cs="宋体"/>
                <w:color w:val="000000"/>
                <w:kern w:val="0"/>
                <w:szCs w:val="21"/>
              </w:rPr>
              <w:t>合计金额</w:t>
            </w:r>
          </w:p>
        </w:tc>
        <w:tc>
          <w:tcPr>
            <w:tcW w:w="736" w:type="dxa"/>
            <w:tcBorders>
              <w:top w:val="single" w:color="auto" w:sz="4" w:space="0"/>
              <w:left w:val="nil"/>
              <w:bottom w:val="single" w:color="auto" w:sz="4" w:space="0"/>
              <w:right w:val="single" w:color="auto" w:sz="4" w:space="0"/>
            </w:tcBorders>
            <w:noWrap/>
            <w:vAlign w:val="center"/>
          </w:tcPr>
          <w:p w14:paraId="2BE58481">
            <w:pPr>
              <w:widowControl/>
              <w:jc w:val="center"/>
              <w:rPr>
                <w:rFonts w:ascii="宋体" w:cs="宋体"/>
                <w:color w:val="000000"/>
                <w:kern w:val="0"/>
                <w:szCs w:val="21"/>
                <w:highlight w:val="yellow"/>
              </w:rPr>
            </w:pPr>
            <w:r>
              <w:rPr>
                <w:rFonts w:hint="eastAsia" w:ascii="宋体" w:hAnsi="宋体" w:cs="宋体"/>
                <w:color w:val="000000"/>
                <w:kern w:val="0"/>
                <w:szCs w:val="21"/>
                <w:highlight w:val="yellow"/>
              </w:rPr>
              <w:t>实验室</w:t>
            </w:r>
          </w:p>
          <w:p w14:paraId="71DCF777">
            <w:pPr>
              <w:widowControl/>
              <w:jc w:val="center"/>
              <w:rPr>
                <w:rFonts w:ascii="宋体" w:cs="宋体"/>
                <w:color w:val="000000"/>
                <w:kern w:val="0"/>
                <w:szCs w:val="21"/>
              </w:rPr>
            </w:pPr>
            <w:r>
              <w:rPr>
                <w:rFonts w:hint="eastAsia" w:ascii="宋体" w:hAnsi="宋体" w:cs="宋体"/>
                <w:color w:val="000000"/>
                <w:kern w:val="0"/>
                <w:szCs w:val="21"/>
                <w:highlight w:val="yellow"/>
              </w:rPr>
              <w:t>位置</w:t>
            </w:r>
          </w:p>
        </w:tc>
        <w:tc>
          <w:tcPr>
            <w:tcW w:w="1248" w:type="dxa"/>
            <w:tcBorders>
              <w:top w:val="single" w:color="auto" w:sz="4" w:space="0"/>
              <w:left w:val="nil"/>
              <w:bottom w:val="single" w:color="auto" w:sz="4" w:space="0"/>
              <w:right w:val="single" w:color="auto" w:sz="4" w:space="0"/>
            </w:tcBorders>
            <w:noWrap/>
            <w:vAlign w:val="center"/>
          </w:tcPr>
          <w:p w14:paraId="3B772B20">
            <w:pPr>
              <w:widowControl/>
              <w:jc w:val="center"/>
              <w:rPr>
                <w:rFonts w:ascii="宋体" w:cs="宋体"/>
                <w:color w:val="000000"/>
                <w:kern w:val="0"/>
                <w:szCs w:val="21"/>
              </w:rPr>
            </w:pPr>
            <w:r>
              <w:rPr>
                <w:rFonts w:hint="eastAsia" w:ascii="宋体" w:hAnsi="宋体" w:cs="宋体"/>
                <w:color w:val="000000"/>
                <w:kern w:val="0"/>
                <w:szCs w:val="21"/>
              </w:rPr>
              <w:t>备</w:t>
            </w:r>
            <w:r>
              <w:rPr>
                <w:rFonts w:ascii="宋体" w:hAnsi="宋体" w:cs="宋体"/>
                <w:color w:val="000000"/>
                <w:kern w:val="0"/>
                <w:szCs w:val="21"/>
              </w:rPr>
              <w:t xml:space="preserve">    </w:t>
            </w:r>
            <w:r>
              <w:rPr>
                <w:rFonts w:hint="eastAsia" w:ascii="宋体" w:hAnsi="宋体" w:cs="宋体"/>
                <w:color w:val="000000"/>
                <w:kern w:val="0"/>
                <w:szCs w:val="21"/>
              </w:rPr>
              <w:t>注</w:t>
            </w:r>
          </w:p>
        </w:tc>
      </w:tr>
      <w:tr w14:paraId="4F011EB5">
        <w:tblPrEx>
          <w:tblCellMar>
            <w:top w:w="0" w:type="dxa"/>
            <w:left w:w="108" w:type="dxa"/>
            <w:bottom w:w="0" w:type="dxa"/>
            <w:right w:w="108" w:type="dxa"/>
          </w:tblCellMar>
        </w:tblPrEx>
        <w:trPr>
          <w:trHeight w:val="480" w:hRule="atLeast"/>
        </w:trPr>
        <w:tc>
          <w:tcPr>
            <w:tcW w:w="1091" w:type="dxa"/>
            <w:tcBorders>
              <w:top w:val="nil"/>
              <w:left w:val="single" w:color="auto" w:sz="4" w:space="0"/>
              <w:bottom w:val="single" w:color="auto" w:sz="4" w:space="0"/>
              <w:right w:val="single" w:color="auto" w:sz="4" w:space="0"/>
            </w:tcBorders>
            <w:noWrap/>
            <w:vAlign w:val="center"/>
          </w:tcPr>
          <w:p w14:paraId="49FB753B">
            <w:pPr>
              <w:widowControl/>
              <w:jc w:val="center"/>
              <w:rPr>
                <w:rFonts w:ascii="宋体" w:hAnsi="宋体" w:cs="宋体"/>
                <w:color w:val="000000"/>
                <w:kern w:val="0"/>
                <w:sz w:val="21"/>
                <w:szCs w:val="21"/>
              </w:rPr>
            </w:pPr>
            <w:r>
              <w:rPr>
                <w:rFonts w:ascii="宋体" w:hAnsi="宋体" w:cs="宋体"/>
                <w:color w:val="000000"/>
                <w:kern w:val="0"/>
                <w:sz w:val="21"/>
                <w:szCs w:val="21"/>
              </w:rPr>
              <w:t>1</w:t>
            </w:r>
          </w:p>
        </w:tc>
        <w:tc>
          <w:tcPr>
            <w:tcW w:w="2326" w:type="dxa"/>
            <w:tcBorders>
              <w:top w:val="nil"/>
              <w:left w:val="nil"/>
              <w:bottom w:val="single" w:color="auto" w:sz="4" w:space="0"/>
              <w:right w:val="single" w:color="auto" w:sz="4" w:space="0"/>
            </w:tcBorders>
            <w:noWrap/>
            <w:vAlign w:val="center"/>
          </w:tcPr>
          <w:p w14:paraId="390C7FAF">
            <w:pPr>
              <w:widowControl/>
              <w:jc w:val="center"/>
              <w:rPr>
                <w:rFonts w:hint="eastAsia" w:ascii="宋体" w:eastAsia="宋体" w:cs="宋体"/>
                <w:kern w:val="0"/>
                <w:sz w:val="21"/>
                <w:szCs w:val="21"/>
                <w:lang w:eastAsia="zh-CN"/>
              </w:rPr>
            </w:pPr>
            <w:r>
              <w:rPr>
                <w:rFonts w:hint="eastAsia" w:ascii="宋体" w:cs="宋体"/>
                <w:kern w:val="0"/>
                <w:sz w:val="21"/>
                <w:szCs w:val="21"/>
              </w:rPr>
              <w:t>智慧物流实验室（智慧物流决策仿真系统）</w:t>
            </w:r>
          </w:p>
        </w:tc>
        <w:tc>
          <w:tcPr>
            <w:tcW w:w="5387" w:type="dxa"/>
            <w:tcBorders>
              <w:top w:val="nil"/>
              <w:left w:val="nil"/>
              <w:bottom w:val="single" w:color="auto" w:sz="4" w:space="0"/>
              <w:right w:val="single" w:color="auto" w:sz="4" w:space="0"/>
            </w:tcBorders>
            <w:noWrap/>
            <w:vAlign w:val="center"/>
          </w:tcPr>
          <w:p w14:paraId="05802A5F">
            <w:pPr>
              <w:spacing w:line="360" w:lineRule="auto"/>
              <w:jc w:val="center"/>
              <w:rPr>
                <w:rFonts w:hint="eastAsia" w:ascii="宋体" w:cs="宋体"/>
                <w:color w:val="auto"/>
                <w:kern w:val="0"/>
                <w:sz w:val="21"/>
                <w:szCs w:val="21"/>
              </w:rPr>
            </w:pPr>
            <w:r>
              <w:rPr>
                <w:rFonts w:hint="eastAsia" w:ascii="宋体" w:cs="宋体"/>
                <w:color w:val="auto"/>
                <w:kern w:val="0"/>
                <w:sz w:val="21"/>
                <w:szCs w:val="21"/>
              </w:rPr>
              <w:t>一、系统架构（加★号项需</w:t>
            </w:r>
            <w:r>
              <w:rPr>
                <w:rFonts w:hint="eastAsia" w:ascii="宋体" w:cs="宋体"/>
                <w:color w:val="auto"/>
                <w:kern w:val="0"/>
                <w:sz w:val="21"/>
                <w:szCs w:val="21"/>
                <w:lang w:eastAsia="zh-CN"/>
              </w:rPr>
              <w:t>现场或远程演示</w:t>
            </w:r>
            <w:r>
              <w:rPr>
                <w:rFonts w:hint="eastAsia" w:ascii="宋体" w:cs="宋体"/>
                <w:color w:val="auto"/>
                <w:kern w:val="0"/>
                <w:sz w:val="21"/>
                <w:szCs w:val="21"/>
              </w:rPr>
              <w:t>，否则不作为中标候选人）</w:t>
            </w:r>
          </w:p>
          <w:p w14:paraId="390199E3">
            <w:pPr>
              <w:spacing w:line="360" w:lineRule="auto"/>
              <w:jc w:val="center"/>
              <w:rPr>
                <w:rFonts w:hint="eastAsia" w:ascii="宋体" w:cs="宋体"/>
                <w:color w:val="auto"/>
                <w:kern w:val="0"/>
                <w:sz w:val="21"/>
                <w:szCs w:val="21"/>
              </w:rPr>
            </w:pPr>
            <w:r>
              <w:rPr>
                <w:rFonts w:hint="eastAsia" w:ascii="宋体" w:cs="宋体"/>
                <w:color w:val="auto"/>
                <w:kern w:val="0"/>
                <w:sz w:val="21"/>
                <w:szCs w:val="21"/>
              </w:rPr>
              <w:t>1、有多家电子商务物流商，有运输、仓储等职能。</w:t>
            </w:r>
          </w:p>
          <w:p w14:paraId="2BECC35D">
            <w:pPr>
              <w:spacing w:line="360" w:lineRule="auto"/>
              <w:jc w:val="center"/>
              <w:rPr>
                <w:rFonts w:hint="eastAsia" w:ascii="宋体" w:cs="宋体"/>
                <w:color w:val="auto"/>
                <w:kern w:val="0"/>
                <w:sz w:val="21"/>
                <w:szCs w:val="21"/>
              </w:rPr>
            </w:pPr>
            <w:r>
              <w:rPr>
                <w:rFonts w:hint="eastAsia" w:ascii="宋体" w:cs="宋体"/>
                <w:color w:val="auto"/>
                <w:kern w:val="0"/>
                <w:sz w:val="21"/>
                <w:szCs w:val="21"/>
              </w:rPr>
              <w:t>2、★整个系统能够模拟物流成本核算过程，包括市场调研费、运输保险、铁路运费、海运费、航空运费、卡车运费、货损意外赔付、业务费、财务费用、卡车租赁费、仓库运营费、仓库租赁费等。</w:t>
            </w:r>
          </w:p>
          <w:p w14:paraId="11FA3AF3">
            <w:pPr>
              <w:spacing w:line="360" w:lineRule="auto"/>
              <w:jc w:val="center"/>
              <w:rPr>
                <w:rFonts w:hint="eastAsia" w:ascii="宋体" w:cs="宋体"/>
                <w:color w:val="auto"/>
                <w:kern w:val="0"/>
                <w:sz w:val="21"/>
                <w:szCs w:val="21"/>
              </w:rPr>
            </w:pPr>
            <w:r>
              <w:rPr>
                <w:rFonts w:hint="eastAsia" w:ascii="宋体" w:cs="宋体"/>
                <w:color w:val="auto"/>
                <w:kern w:val="0"/>
                <w:sz w:val="21"/>
                <w:szCs w:val="21"/>
              </w:rPr>
              <w:t>3、★其中运输涉及海运、航空、公路运输、铁路运输等不同形式，仓储涉及大型仓、中型仓、小型仓，物流业务涉及普货物流和特种货物（轻泡）物流、国内物流和国际物流业务。</w:t>
            </w:r>
          </w:p>
          <w:p w14:paraId="08531381">
            <w:pPr>
              <w:spacing w:line="360" w:lineRule="auto"/>
              <w:jc w:val="center"/>
              <w:rPr>
                <w:rFonts w:hint="eastAsia" w:ascii="宋体" w:cs="宋体"/>
                <w:color w:val="auto"/>
                <w:kern w:val="0"/>
                <w:sz w:val="21"/>
                <w:szCs w:val="21"/>
              </w:rPr>
            </w:pPr>
            <w:r>
              <w:rPr>
                <w:rFonts w:hint="eastAsia" w:ascii="宋体" w:cs="宋体"/>
                <w:color w:val="auto"/>
                <w:kern w:val="0"/>
                <w:sz w:val="21"/>
                <w:szCs w:val="21"/>
              </w:rPr>
              <w:t>4、★能够体现物流管理中的风险成本，能够模拟如客户无法支付物流款、国内运输货物毁损、国际航空货物毁损、需求增加需空运等风险。</w:t>
            </w:r>
          </w:p>
          <w:p w14:paraId="7325924E">
            <w:pPr>
              <w:spacing w:line="360" w:lineRule="auto"/>
              <w:jc w:val="center"/>
              <w:rPr>
                <w:rFonts w:hint="eastAsia" w:ascii="宋体" w:cs="宋体"/>
                <w:color w:val="auto"/>
                <w:kern w:val="0"/>
                <w:sz w:val="21"/>
                <w:szCs w:val="21"/>
              </w:rPr>
            </w:pPr>
            <w:r>
              <w:rPr>
                <w:rFonts w:hint="eastAsia" w:ascii="宋体" w:cs="宋体"/>
                <w:color w:val="auto"/>
                <w:kern w:val="0"/>
                <w:sz w:val="21"/>
                <w:szCs w:val="21"/>
              </w:rPr>
              <w:t>5、★有教学模式与比赛模式2种，在比赛模式中，特别能体现“双11”订单爆棚、卡车租金翻倍、囤货竞争等特有风险。</w:t>
            </w:r>
          </w:p>
          <w:p w14:paraId="4FFD7E59">
            <w:pPr>
              <w:spacing w:line="360" w:lineRule="auto"/>
              <w:jc w:val="center"/>
              <w:rPr>
                <w:rFonts w:hint="eastAsia" w:ascii="宋体" w:cs="宋体"/>
                <w:color w:val="auto"/>
                <w:kern w:val="0"/>
                <w:sz w:val="21"/>
                <w:szCs w:val="21"/>
              </w:rPr>
            </w:pPr>
            <w:r>
              <w:rPr>
                <w:rFonts w:hint="eastAsia" w:ascii="宋体" w:cs="宋体"/>
                <w:color w:val="auto"/>
                <w:kern w:val="0"/>
                <w:sz w:val="21"/>
                <w:szCs w:val="21"/>
              </w:rPr>
              <w:t>6、★具有完全自主著作权，须提供加盖制造商鲜章的著作权复印件，且现场</w:t>
            </w:r>
            <w:r>
              <w:rPr>
                <w:rFonts w:hint="eastAsia" w:ascii="宋体" w:cs="宋体"/>
                <w:color w:val="auto"/>
                <w:kern w:val="0"/>
                <w:sz w:val="21"/>
                <w:szCs w:val="21"/>
                <w:lang w:val="en-US" w:eastAsia="zh-CN"/>
              </w:rPr>
              <w:t>或远程</w:t>
            </w:r>
            <w:r>
              <w:rPr>
                <w:rFonts w:hint="eastAsia" w:ascii="宋体" w:cs="宋体"/>
                <w:color w:val="auto"/>
                <w:kern w:val="0"/>
                <w:sz w:val="21"/>
                <w:szCs w:val="21"/>
              </w:rPr>
              <w:t>在“中国版权服务”微信公众号查验著作权真伪。否则应提供在“中国版权服务”微信公众号著作权核查结果截图并加盖制造商鲜章。如提供虚假著作权，将按虚假应标处罚。如知识产权属于个人所有，需同时提供知识产权所有人身份证复印件。如非制造厂商投标，需提供制造厂商授权函和售后服务承诺函原件。</w:t>
            </w:r>
          </w:p>
          <w:p w14:paraId="4D02570D">
            <w:pPr>
              <w:spacing w:line="360" w:lineRule="auto"/>
              <w:jc w:val="center"/>
              <w:rPr>
                <w:rFonts w:hint="eastAsia" w:ascii="宋体" w:cs="宋体"/>
                <w:color w:val="auto"/>
                <w:kern w:val="0"/>
                <w:sz w:val="21"/>
                <w:szCs w:val="21"/>
              </w:rPr>
            </w:pPr>
            <w:r>
              <w:rPr>
                <w:rFonts w:hint="eastAsia" w:ascii="宋体" w:cs="宋体"/>
                <w:color w:val="auto"/>
                <w:kern w:val="0"/>
                <w:sz w:val="21"/>
                <w:szCs w:val="21"/>
              </w:rPr>
              <w:t>7、具有满足实验要求的教学课件、学员手册、教学大纲、教学案例等教学资料。</w:t>
            </w:r>
          </w:p>
          <w:p w14:paraId="46E50402">
            <w:pPr>
              <w:spacing w:line="360" w:lineRule="auto"/>
              <w:jc w:val="center"/>
              <w:rPr>
                <w:rFonts w:hint="eastAsia" w:ascii="宋体" w:cs="宋体"/>
                <w:color w:val="auto"/>
                <w:kern w:val="0"/>
                <w:sz w:val="21"/>
                <w:szCs w:val="21"/>
              </w:rPr>
            </w:pPr>
            <w:r>
              <w:rPr>
                <w:rFonts w:hint="eastAsia" w:ascii="宋体" w:cs="宋体"/>
                <w:color w:val="auto"/>
                <w:kern w:val="0"/>
                <w:sz w:val="21"/>
                <w:szCs w:val="21"/>
              </w:rPr>
              <w:t>8、软件为全国大赛软件，提供大赛通知的复印件。</w:t>
            </w:r>
          </w:p>
          <w:p w14:paraId="7E7D4C30">
            <w:pPr>
              <w:spacing w:line="360" w:lineRule="auto"/>
              <w:jc w:val="center"/>
              <w:rPr>
                <w:rFonts w:hint="eastAsia" w:ascii="宋体" w:cs="宋体"/>
                <w:color w:val="auto"/>
                <w:kern w:val="0"/>
                <w:sz w:val="21"/>
                <w:szCs w:val="21"/>
              </w:rPr>
            </w:pPr>
            <w:r>
              <w:rPr>
                <w:rFonts w:hint="eastAsia" w:ascii="宋体" w:cs="宋体"/>
                <w:color w:val="auto"/>
                <w:kern w:val="0"/>
                <w:sz w:val="21"/>
                <w:szCs w:val="21"/>
              </w:rPr>
              <w:t>9、排名第一的供应商在合同签订前还需</w:t>
            </w:r>
            <w:r>
              <w:rPr>
                <w:rFonts w:hint="eastAsia" w:ascii="宋体" w:cs="宋体"/>
                <w:color w:val="auto"/>
                <w:kern w:val="0"/>
                <w:sz w:val="21"/>
                <w:szCs w:val="21"/>
                <w:lang w:eastAsia="zh-CN"/>
              </w:rPr>
              <w:t>现场或远程演示</w:t>
            </w:r>
            <w:r>
              <w:rPr>
                <w:rFonts w:hint="eastAsia" w:ascii="宋体" w:cs="宋体"/>
                <w:color w:val="auto"/>
                <w:kern w:val="0"/>
                <w:sz w:val="21"/>
                <w:szCs w:val="21"/>
              </w:rPr>
              <w:t>并获得最终使用此软件的老师签字认可，否则依次顺位下一排名的供应商作为中标方。</w:t>
            </w:r>
          </w:p>
          <w:p w14:paraId="1665D246">
            <w:pPr>
              <w:spacing w:line="360" w:lineRule="auto"/>
              <w:jc w:val="center"/>
              <w:rPr>
                <w:rFonts w:hint="eastAsia" w:ascii="宋体" w:cs="宋体"/>
                <w:color w:val="auto"/>
                <w:kern w:val="0"/>
                <w:sz w:val="21"/>
                <w:szCs w:val="21"/>
              </w:rPr>
            </w:pPr>
            <w:r>
              <w:rPr>
                <w:rFonts w:hint="eastAsia" w:ascii="宋体" w:cs="宋体"/>
                <w:color w:val="auto"/>
                <w:kern w:val="0"/>
                <w:sz w:val="21"/>
                <w:szCs w:val="21"/>
              </w:rPr>
              <w:t>二、虚拟仿真模块参数</w:t>
            </w:r>
          </w:p>
          <w:p w14:paraId="16832BAC">
            <w:pPr>
              <w:spacing w:line="360" w:lineRule="auto"/>
              <w:jc w:val="center"/>
              <w:rPr>
                <w:rFonts w:hint="eastAsia" w:ascii="宋体" w:cs="宋体"/>
                <w:color w:val="auto"/>
                <w:kern w:val="0"/>
                <w:sz w:val="21"/>
                <w:szCs w:val="21"/>
              </w:rPr>
            </w:pPr>
            <w:r>
              <w:rPr>
                <w:rFonts w:hint="eastAsia" w:ascii="宋体" w:cs="宋体"/>
                <w:color w:val="auto"/>
                <w:kern w:val="0"/>
                <w:sz w:val="21"/>
                <w:szCs w:val="21"/>
              </w:rPr>
              <w:t>1、教师端功能</w:t>
            </w:r>
          </w:p>
          <w:p w14:paraId="0E713B58">
            <w:pPr>
              <w:spacing w:line="360" w:lineRule="auto"/>
              <w:jc w:val="center"/>
              <w:rPr>
                <w:rFonts w:hint="eastAsia" w:ascii="宋体" w:cs="宋体"/>
                <w:color w:val="auto"/>
                <w:kern w:val="0"/>
                <w:sz w:val="21"/>
                <w:szCs w:val="21"/>
              </w:rPr>
            </w:pPr>
            <w:r>
              <w:rPr>
                <w:rFonts w:hint="eastAsia" w:ascii="宋体" w:cs="宋体"/>
                <w:color w:val="auto"/>
                <w:kern w:val="0"/>
                <w:sz w:val="21"/>
                <w:szCs w:val="21"/>
              </w:rPr>
              <w:t>【评分管理】系统将自动统计各组所有者权益，生成经营业绩得分，在老师输入抢答次数与实训报告评分后，系统自动统计小组/个人成绩，评分维度比例可以由老师随意修改，简便快捷。</w:t>
            </w:r>
          </w:p>
          <w:p w14:paraId="08F15053">
            <w:pPr>
              <w:spacing w:line="360" w:lineRule="auto"/>
              <w:jc w:val="center"/>
              <w:rPr>
                <w:rFonts w:hint="eastAsia" w:ascii="宋体" w:cs="宋体"/>
                <w:color w:val="auto"/>
                <w:kern w:val="0"/>
                <w:sz w:val="21"/>
                <w:szCs w:val="21"/>
              </w:rPr>
            </w:pPr>
            <w:r>
              <w:rPr>
                <w:rFonts w:hint="eastAsia" w:ascii="宋体" w:cs="宋体"/>
                <w:color w:val="auto"/>
                <w:kern w:val="0"/>
                <w:sz w:val="21"/>
                <w:szCs w:val="21"/>
              </w:rPr>
              <w:t>★【市场环境】教师端可以颁布当年的市场环境，是否开启双十一、卡车租金翻倍，调整租赁卡车总量、小型仓库总量、全班银行贷款占上期所有者权益比例影响企业运营环境。学生端可以查看颁布的市场环境。</w:t>
            </w:r>
          </w:p>
          <w:p w14:paraId="2C2FA938">
            <w:pPr>
              <w:spacing w:line="360" w:lineRule="auto"/>
              <w:jc w:val="center"/>
              <w:rPr>
                <w:rFonts w:hint="eastAsia" w:ascii="宋体" w:cs="宋体"/>
                <w:color w:val="auto"/>
                <w:kern w:val="0"/>
                <w:sz w:val="21"/>
                <w:szCs w:val="21"/>
              </w:rPr>
            </w:pPr>
            <w:r>
              <w:rPr>
                <w:rFonts w:hint="eastAsia" w:ascii="宋体" w:cs="宋体"/>
                <w:color w:val="auto"/>
                <w:kern w:val="0"/>
                <w:sz w:val="21"/>
                <w:szCs w:val="21"/>
              </w:rPr>
              <w:t>【订单竞标管理】系统通过内部分析虚拟市场的经济活动，自动生成普货总量和轻泡货的市场需求的总量，在竞标环节中，通过各公司情况的比对，业务费、订单拖期、轻泡货与普货报价等，系统将自动生成各公司获得的普货与轻泡货总量。</w:t>
            </w:r>
          </w:p>
          <w:p w14:paraId="70010F7F">
            <w:pPr>
              <w:spacing w:line="360" w:lineRule="auto"/>
              <w:jc w:val="center"/>
              <w:rPr>
                <w:rFonts w:hint="eastAsia" w:ascii="宋体" w:cs="宋体"/>
                <w:color w:val="auto"/>
                <w:kern w:val="0"/>
                <w:sz w:val="21"/>
                <w:szCs w:val="21"/>
              </w:rPr>
            </w:pPr>
            <w:r>
              <w:rPr>
                <w:rFonts w:hint="eastAsia" w:ascii="宋体" w:cs="宋体"/>
                <w:color w:val="auto"/>
                <w:kern w:val="0"/>
                <w:sz w:val="21"/>
                <w:szCs w:val="21"/>
              </w:rPr>
              <w:t>【融资与采购业务】教师端可以开启本周的融资竞标、组间贷款、货物采购、货物组间交易，并可查看融资竞标信息、组间贷款信息以及货物采购的信息。</w:t>
            </w:r>
          </w:p>
          <w:p w14:paraId="47292C11">
            <w:pPr>
              <w:spacing w:line="360" w:lineRule="auto"/>
              <w:jc w:val="center"/>
              <w:rPr>
                <w:rFonts w:hint="eastAsia" w:ascii="宋体" w:cs="宋体"/>
                <w:color w:val="auto"/>
                <w:kern w:val="0"/>
                <w:sz w:val="21"/>
                <w:szCs w:val="21"/>
              </w:rPr>
            </w:pPr>
            <w:r>
              <w:rPr>
                <w:rFonts w:hint="eastAsia" w:ascii="宋体" w:cs="宋体"/>
                <w:color w:val="auto"/>
                <w:kern w:val="0"/>
                <w:sz w:val="21"/>
                <w:szCs w:val="21"/>
              </w:rPr>
              <w:t>【卡车与仓库业务】教师端可以在此处开启本周卡车出售模拟、卡车买卖租退、顺风车交易、仓库租建售、运输交货，并可查看卡车买卖租退信息、顺风车交易信息、仓库租建售信息以及运输交货信息。</w:t>
            </w:r>
          </w:p>
          <w:p w14:paraId="7EA4D218">
            <w:pPr>
              <w:spacing w:line="360" w:lineRule="auto"/>
              <w:jc w:val="center"/>
              <w:rPr>
                <w:rFonts w:hint="eastAsia" w:ascii="宋体" w:cs="宋体"/>
                <w:color w:val="auto"/>
                <w:kern w:val="0"/>
                <w:sz w:val="21"/>
                <w:szCs w:val="21"/>
              </w:rPr>
            </w:pPr>
            <w:r>
              <w:rPr>
                <w:rFonts w:hint="eastAsia" w:ascii="宋体" w:cs="宋体"/>
                <w:color w:val="auto"/>
                <w:kern w:val="0"/>
                <w:sz w:val="21"/>
                <w:szCs w:val="21"/>
              </w:rPr>
              <w:t>【风险模拟管理】在运作过程中，教师规定时期内通过项目模拟风险发生器设定相应的风险及其结果和规避办法，调整经营活动，如客户无法支付部分物流款、国内/国际运输毁损和需求增加需空运等。</w:t>
            </w:r>
          </w:p>
          <w:p w14:paraId="6AD86404">
            <w:pPr>
              <w:spacing w:line="360" w:lineRule="auto"/>
              <w:jc w:val="center"/>
              <w:rPr>
                <w:rFonts w:hint="eastAsia" w:ascii="宋体" w:cs="宋体"/>
                <w:color w:val="auto"/>
                <w:kern w:val="0"/>
                <w:sz w:val="21"/>
                <w:szCs w:val="21"/>
              </w:rPr>
            </w:pPr>
            <w:r>
              <w:rPr>
                <w:rFonts w:hint="eastAsia" w:ascii="宋体" w:cs="宋体"/>
                <w:color w:val="auto"/>
                <w:kern w:val="0"/>
                <w:sz w:val="21"/>
                <w:szCs w:val="21"/>
              </w:rPr>
              <w:t>2、学生端功能</w:t>
            </w:r>
          </w:p>
          <w:p w14:paraId="7B591273">
            <w:pPr>
              <w:spacing w:line="360" w:lineRule="auto"/>
              <w:jc w:val="center"/>
              <w:rPr>
                <w:rFonts w:hint="eastAsia" w:ascii="宋体" w:cs="宋体"/>
                <w:color w:val="auto"/>
                <w:kern w:val="0"/>
                <w:sz w:val="21"/>
                <w:szCs w:val="21"/>
              </w:rPr>
            </w:pPr>
            <w:r>
              <w:rPr>
                <w:rFonts w:hint="eastAsia" w:ascii="宋体" w:cs="宋体"/>
                <w:color w:val="auto"/>
                <w:kern w:val="0"/>
                <w:sz w:val="21"/>
                <w:szCs w:val="21"/>
              </w:rPr>
              <w:t>学生端功能包括公司设立、现金管理模块、业务竞标模块、仓储采购模块、运输交货模块、风险管理模块、绩效核算模块、信息流模块八大功能。</w:t>
            </w:r>
          </w:p>
          <w:p w14:paraId="6516B708">
            <w:pPr>
              <w:spacing w:line="360" w:lineRule="auto"/>
              <w:jc w:val="center"/>
              <w:rPr>
                <w:rFonts w:hint="eastAsia" w:ascii="宋体" w:cs="宋体"/>
                <w:color w:val="auto"/>
                <w:kern w:val="0"/>
                <w:sz w:val="21"/>
                <w:szCs w:val="21"/>
              </w:rPr>
            </w:pPr>
            <w:r>
              <w:rPr>
                <w:rFonts w:hint="eastAsia" w:ascii="宋体" w:cs="宋体"/>
                <w:color w:val="auto"/>
                <w:kern w:val="0"/>
                <w:sz w:val="21"/>
                <w:szCs w:val="21"/>
              </w:rPr>
              <w:t>【市场环境查看】各小组可以查看当年已发布市场环境，是否开启双十一、卡车租金翻倍，调整租赁卡车总量、小型仓库总量、全班银行贷款占上期所有者权益比例影响企业运营环境。</w:t>
            </w:r>
          </w:p>
          <w:p w14:paraId="54B45BFA">
            <w:pPr>
              <w:spacing w:line="360" w:lineRule="auto"/>
              <w:jc w:val="center"/>
              <w:rPr>
                <w:rFonts w:hint="eastAsia" w:ascii="宋体" w:cs="宋体"/>
                <w:color w:val="auto"/>
                <w:kern w:val="0"/>
                <w:sz w:val="21"/>
                <w:szCs w:val="21"/>
              </w:rPr>
            </w:pPr>
            <w:r>
              <w:rPr>
                <w:rFonts w:hint="eastAsia" w:ascii="宋体" w:cs="宋体"/>
                <w:color w:val="auto"/>
                <w:kern w:val="0"/>
                <w:sz w:val="21"/>
                <w:szCs w:val="21"/>
              </w:rPr>
              <w:t>【业务竞标模块】在学生端界面按照流程进行模拟经营操作如：订单竞标、融资竞标。订单竞标受到普货和轻泡货的报价、业务费用、市场调研费订单拖期的影响；融资竞标体现在学生端输入各项资金和贷款资金数量，完成的订单和各项经济活动。（在此之前，学生可以进行资金规划预算。）</w:t>
            </w:r>
          </w:p>
          <w:p w14:paraId="52E0DF42">
            <w:pPr>
              <w:spacing w:line="360" w:lineRule="auto"/>
              <w:jc w:val="center"/>
              <w:rPr>
                <w:rFonts w:hint="eastAsia" w:ascii="宋体" w:cs="宋体"/>
                <w:color w:val="auto"/>
                <w:kern w:val="0"/>
                <w:sz w:val="21"/>
                <w:szCs w:val="21"/>
              </w:rPr>
            </w:pPr>
            <w:r>
              <w:rPr>
                <w:rFonts w:hint="eastAsia" w:ascii="宋体" w:cs="宋体"/>
                <w:color w:val="auto"/>
                <w:kern w:val="0"/>
                <w:sz w:val="21"/>
                <w:szCs w:val="21"/>
              </w:rPr>
              <w:t>【仓储采购模块】在学生端按照流程进行选择卡车的买退租赁竞标、仓库的买退租赁竞标并查看竞标结果，货物的采购，供应商的选择。由学生通过对公司未来发展方向的规划来进行决策。</w:t>
            </w:r>
          </w:p>
          <w:p w14:paraId="1C4A1EB2">
            <w:pPr>
              <w:spacing w:line="360" w:lineRule="auto"/>
              <w:jc w:val="center"/>
              <w:rPr>
                <w:rFonts w:hint="eastAsia" w:ascii="宋体" w:cs="宋体"/>
                <w:color w:val="auto"/>
                <w:kern w:val="0"/>
                <w:sz w:val="21"/>
                <w:szCs w:val="21"/>
              </w:rPr>
            </w:pPr>
            <w:r>
              <w:rPr>
                <w:rFonts w:hint="eastAsia" w:ascii="宋体" w:cs="宋体"/>
                <w:color w:val="auto"/>
                <w:kern w:val="0"/>
                <w:sz w:val="21"/>
                <w:szCs w:val="21"/>
              </w:rPr>
              <w:t>【运输配送模块】在学生端决策选择物流方式，调整运输费用和保险费用，规划最佳路线和配货组合，还可以选择顺风车运输。</w:t>
            </w:r>
          </w:p>
          <w:p w14:paraId="1D068E96">
            <w:pPr>
              <w:spacing w:line="360" w:lineRule="auto"/>
              <w:jc w:val="center"/>
              <w:rPr>
                <w:rFonts w:hint="eastAsia" w:ascii="宋体" w:cs="宋体"/>
                <w:color w:val="auto"/>
                <w:kern w:val="0"/>
                <w:sz w:val="21"/>
                <w:szCs w:val="21"/>
              </w:rPr>
            </w:pPr>
            <w:r>
              <w:rPr>
                <w:rFonts w:hint="eastAsia" w:ascii="宋体" w:cs="宋体"/>
                <w:color w:val="auto"/>
                <w:kern w:val="0"/>
                <w:sz w:val="21"/>
                <w:szCs w:val="21"/>
              </w:rPr>
              <w:t>【绩效核算模块】系统将根据资产负债表和利润表自动生成销售利润率和营业利润率，同时将自动统计经营性现金支出和投资性现金支出，然后得出现金余额。还可以查看团队评分情况。</w:t>
            </w:r>
          </w:p>
          <w:p w14:paraId="4A8014AD">
            <w:pPr>
              <w:spacing w:line="360" w:lineRule="auto"/>
              <w:jc w:val="center"/>
              <w:rPr>
                <w:rFonts w:hint="eastAsia" w:ascii="宋体" w:cs="宋体"/>
                <w:color w:val="auto"/>
                <w:kern w:val="0"/>
                <w:sz w:val="21"/>
                <w:szCs w:val="21"/>
              </w:rPr>
            </w:pPr>
            <w:r>
              <w:rPr>
                <w:rFonts w:hint="eastAsia" w:ascii="宋体" w:cs="宋体"/>
                <w:color w:val="auto"/>
                <w:kern w:val="0"/>
                <w:sz w:val="21"/>
                <w:szCs w:val="21"/>
              </w:rPr>
              <w:t>三、培训与服务（以下条款作为投标评分加分项，每项10分，最多不超过50分）。</w:t>
            </w:r>
          </w:p>
          <w:p w14:paraId="35A57341">
            <w:pPr>
              <w:spacing w:line="360" w:lineRule="auto"/>
              <w:jc w:val="center"/>
              <w:rPr>
                <w:rFonts w:hint="eastAsia" w:ascii="宋体" w:cs="宋体"/>
                <w:color w:val="auto"/>
                <w:kern w:val="0"/>
                <w:sz w:val="21"/>
                <w:szCs w:val="21"/>
              </w:rPr>
            </w:pPr>
            <w:r>
              <w:rPr>
                <w:rFonts w:hint="eastAsia" w:ascii="宋体" w:cs="宋体"/>
                <w:color w:val="auto"/>
                <w:kern w:val="0"/>
                <w:sz w:val="21"/>
                <w:szCs w:val="21"/>
              </w:rPr>
              <w:t>1、软件有国家发明专利或实用新型专利。提供加盖制造商鲜章的专利证书复印件，且现场</w:t>
            </w:r>
            <w:r>
              <w:rPr>
                <w:rFonts w:hint="eastAsia" w:ascii="宋体" w:cs="宋体"/>
                <w:color w:val="auto"/>
                <w:kern w:val="0"/>
                <w:sz w:val="21"/>
                <w:szCs w:val="21"/>
                <w:lang w:val="en-US" w:eastAsia="zh-CN"/>
              </w:rPr>
              <w:t>或远程</w:t>
            </w:r>
            <w:r>
              <w:rPr>
                <w:rFonts w:hint="eastAsia" w:ascii="宋体" w:cs="宋体"/>
                <w:color w:val="auto"/>
                <w:kern w:val="0"/>
                <w:sz w:val="21"/>
                <w:szCs w:val="21"/>
              </w:rPr>
              <w:t>在中国及多国专利审查信息查询网站核查知识产权真伪。如专利属于个人所有，需同时提供专利所有人的身份证复印件。如非制造厂商投标，需提供加盖制造厂家鲜章的授权函原件。</w:t>
            </w:r>
          </w:p>
          <w:p w14:paraId="252116A6">
            <w:pPr>
              <w:spacing w:line="360" w:lineRule="auto"/>
              <w:jc w:val="center"/>
              <w:rPr>
                <w:rFonts w:hint="eastAsia" w:ascii="宋体" w:cs="宋体"/>
                <w:color w:val="auto"/>
                <w:kern w:val="0"/>
                <w:sz w:val="21"/>
                <w:szCs w:val="21"/>
              </w:rPr>
            </w:pPr>
            <w:r>
              <w:rPr>
                <w:rFonts w:hint="eastAsia" w:ascii="宋体" w:cs="宋体"/>
                <w:color w:val="auto"/>
                <w:kern w:val="0"/>
                <w:sz w:val="21"/>
                <w:szCs w:val="21"/>
              </w:rPr>
              <w:t>2、原厂制造商股东具有高校背景，须提供加盖制造商鲜章的股东高校教师资格证和高级职称证明复印件。</w:t>
            </w:r>
          </w:p>
          <w:p w14:paraId="47D7AA3B">
            <w:pPr>
              <w:spacing w:line="360" w:lineRule="auto"/>
              <w:jc w:val="center"/>
              <w:rPr>
                <w:rFonts w:hint="eastAsia" w:ascii="宋体" w:cs="宋体"/>
                <w:color w:val="auto"/>
                <w:kern w:val="0"/>
                <w:sz w:val="21"/>
                <w:szCs w:val="21"/>
              </w:rPr>
            </w:pPr>
            <w:r>
              <w:rPr>
                <w:rFonts w:hint="eastAsia" w:ascii="宋体" w:cs="宋体"/>
                <w:color w:val="auto"/>
                <w:kern w:val="0"/>
                <w:sz w:val="21"/>
                <w:szCs w:val="21"/>
              </w:rPr>
              <w:t>3、原厂制造商为高新技术企业，须提供加盖制造商鲜章的高新技术企业证书复印件。</w:t>
            </w:r>
          </w:p>
          <w:p w14:paraId="01499F71">
            <w:pPr>
              <w:spacing w:line="360" w:lineRule="auto"/>
              <w:jc w:val="center"/>
              <w:rPr>
                <w:rFonts w:hint="eastAsia" w:ascii="宋体" w:cs="宋体"/>
                <w:color w:val="auto"/>
                <w:kern w:val="0"/>
                <w:sz w:val="21"/>
                <w:szCs w:val="21"/>
              </w:rPr>
            </w:pPr>
            <w:r>
              <w:rPr>
                <w:rFonts w:hint="eastAsia" w:ascii="宋体" w:cs="宋体"/>
                <w:color w:val="auto"/>
                <w:kern w:val="0"/>
                <w:sz w:val="21"/>
                <w:szCs w:val="21"/>
              </w:rPr>
              <w:t>4、原厂制造商被列为高等教育学会“校企合作，双百计划”典型案例。须提供加盖制造商鲜章的展板图片。</w:t>
            </w:r>
          </w:p>
          <w:p w14:paraId="6B394DCD">
            <w:pPr>
              <w:spacing w:line="360" w:lineRule="auto"/>
              <w:jc w:val="center"/>
              <w:rPr>
                <w:rFonts w:ascii="宋体" w:cs="宋体"/>
                <w:color w:val="auto"/>
                <w:kern w:val="0"/>
                <w:sz w:val="21"/>
                <w:szCs w:val="21"/>
              </w:rPr>
            </w:pPr>
            <w:r>
              <w:rPr>
                <w:rFonts w:hint="eastAsia" w:ascii="宋体" w:cs="宋体"/>
                <w:color w:val="auto"/>
                <w:kern w:val="0"/>
                <w:sz w:val="21"/>
                <w:szCs w:val="21"/>
              </w:rPr>
              <w:t>5、软件中配有上课使用的教学PPT。需</w:t>
            </w:r>
            <w:r>
              <w:rPr>
                <w:rFonts w:hint="eastAsia" w:ascii="宋体" w:cs="宋体"/>
                <w:color w:val="auto"/>
                <w:kern w:val="0"/>
                <w:sz w:val="21"/>
                <w:szCs w:val="21"/>
                <w:lang w:eastAsia="zh-CN"/>
              </w:rPr>
              <w:t>现场或远程演示</w:t>
            </w:r>
            <w:r>
              <w:rPr>
                <w:rFonts w:hint="eastAsia" w:ascii="宋体" w:cs="宋体"/>
                <w:color w:val="auto"/>
                <w:kern w:val="0"/>
                <w:sz w:val="21"/>
                <w:szCs w:val="21"/>
              </w:rPr>
              <w:t>。</w:t>
            </w:r>
          </w:p>
        </w:tc>
        <w:tc>
          <w:tcPr>
            <w:tcW w:w="1186" w:type="dxa"/>
            <w:tcBorders>
              <w:top w:val="nil"/>
              <w:left w:val="nil"/>
              <w:bottom w:val="single" w:color="auto" w:sz="4" w:space="0"/>
              <w:right w:val="single" w:color="auto" w:sz="4" w:space="0"/>
            </w:tcBorders>
            <w:noWrap/>
            <w:vAlign w:val="center"/>
          </w:tcPr>
          <w:p w14:paraId="110B4128">
            <w:pPr>
              <w:spacing w:line="360" w:lineRule="auto"/>
              <w:jc w:val="center"/>
              <w:rPr>
                <w:rFonts w:hint="default" w:ascii="宋体" w:eastAsia="宋体" w:cs="宋体"/>
                <w:kern w:val="0"/>
                <w:sz w:val="21"/>
                <w:szCs w:val="21"/>
                <w:lang w:val="en-US" w:eastAsia="zh-CN"/>
              </w:rPr>
            </w:pPr>
          </w:p>
        </w:tc>
        <w:tc>
          <w:tcPr>
            <w:tcW w:w="876" w:type="dxa"/>
            <w:tcBorders>
              <w:top w:val="nil"/>
              <w:left w:val="nil"/>
              <w:bottom w:val="single" w:color="auto" w:sz="4" w:space="0"/>
              <w:right w:val="single" w:color="auto" w:sz="4" w:space="0"/>
            </w:tcBorders>
            <w:noWrap/>
            <w:vAlign w:val="center"/>
          </w:tcPr>
          <w:p w14:paraId="1B0A01DB">
            <w:pPr>
              <w:widowControl/>
              <w:jc w:val="center"/>
              <w:rPr>
                <w:rFonts w:hint="eastAsia" w:ascii="宋体" w:eastAsia="宋体" w:cs="宋体"/>
                <w:kern w:val="0"/>
                <w:sz w:val="21"/>
                <w:szCs w:val="21"/>
                <w:lang w:val="en-US" w:eastAsia="zh-CN"/>
              </w:rPr>
            </w:pPr>
            <w:r>
              <w:rPr>
                <w:rFonts w:hint="eastAsia" w:ascii="宋体" w:cs="宋体"/>
                <w:kern w:val="0"/>
                <w:sz w:val="21"/>
                <w:szCs w:val="21"/>
                <w:lang w:val="en-US" w:eastAsia="zh-CN"/>
              </w:rPr>
              <w:t>1</w:t>
            </w:r>
          </w:p>
        </w:tc>
        <w:tc>
          <w:tcPr>
            <w:tcW w:w="1340" w:type="dxa"/>
            <w:tcBorders>
              <w:top w:val="nil"/>
              <w:left w:val="nil"/>
              <w:bottom w:val="single" w:color="auto" w:sz="4" w:space="0"/>
              <w:right w:val="single" w:color="auto" w:sz="4" w:space="0"/>
            </w:tcBorders>
            <w:noWrap/>
            <w:vAlign w:val="center"/>
          </w:tcPr>
          <w:p w14:paraId="206BB872">
            <w:pPr>
              <w:spacing w:line="360" w:lineRule="auto"/>
              <w:jc w:val="center"/>
              <w:rPr>
                <w:rFonts w:hint="default" w:ascii="宋体" w:eastAsia="宋体" w:cs="宋体"/>
                <w:kern w:val="0"/>
                <w:sz w:val="21"/>
                <w:szCs w:val="21"/>
                <w:lang w:val="en-US" w:eastAsia="zh-CN"/>
              </w:rPr>
            </w:pPr>
          </w:p>
        </w:tc>
        <w:tc>
          <w:tcPr>
            <w:tcW w:w="736" w:type="dxa"/>
            <w:tcBorders>
              <w:top w:val="nil"/>
              <w:left w:val="nil"/>
              <w:bottom w:val="single" w:color="auto" w:sz="4" w:space="0"/>
              <w:right w:val="single" w:color="auto" w:sz="4" w:space="0"/>
            </w:tcBorders>
            <w:noWrap/>
            <w:vAlign w:val="center"/>
          </w:tcPr>
          <w:p w14:paraId="71E53C1D">
            <w:pPr>
              <w:widowControl/>
              <w:jc w:val="center"/>
              <w:rPr>
                <w:rFonts w:ascii="宋体" w:cs="宋体"/>
                <w:color w:val="000000"/>
                <w:kern w:val="0"/>
                <w:sz w:val="21"/>
                <w:szCs w:val="21"/>
              </w:rPr>
            </w:pPr>
          </w:p>
        </w:tc>
        <w:tc>
          <w:tcPr>
            <w:tcW w:w="1248" w:type="dxa"/>
            <w:tcBorders>
              <w:top w:val="nil"/>
              <w:left w:val="nil"/>
              <w:bottom w:val="single" w:color="auto" w:sz="4" w:space="0"/>
              <w:right w:val="single" w:color="auto" w:sz="4" w:space="0"/>
            </w:tcBorders>
            <w:noWrap/>
            <w:vAlign w:val="center"/>
          </w:tcPr>
          <w:p w14:paraId="72CB7464">
            <w:pPr>
              <w:widowControl/>
              <w:jc w:val="center"/>
              <w:rPr>
                <w:rFonts w:hint="eastAsia" w:ascii="宋体" w:eastAsia="宋体" w:cs="宋体"/>
                <w:color w:val="000000"/>
                <w:kern w:val="0"/>
                <w:sz w:val="21"/>
                <w:szCs w:val="21"/>
                <w:lang w:val="en-US" w:eastAsia="zh-CN"/>
              </w:rPr>
            </w:pPr>
            <w:r>
              <w:rPr>
                <w:rFonts w:hint="eastAsia" w:ascii="宋体" w:cs="宋体"/>
                <w:color w:val="000000"/>
                <w:kern w:val="0"/>
                <w:sz w:val="21"/>
                <w:szCs w:val="21"/>
                <w:lang w:val="en-US" w:eastAsia="zh-CN"/>
              </w:rPr>
              <w:t>无</w:t>
            </w:r>
          </w:p>
        </w:tc>
      </w:tr>
      <w:tr w14:paraId="271861BB">
        <w:tblPrEx>
          <w:tblCellMar>
            <w:top w:w="0" w:type="dxa"/>
            <w:left w:w="108" w:type="dxa"/>
            <w:bottom w:w="0" w:type="dxa"/>
            <w:right w:w="108" w:type="dxa"/>
          </w:tblCellMar>
        </w:tblPrEx>
        <w:trPr>
          <w:trHeight w:val="916" w:hRule="atLeast"/>
        </w:trPr>
        <w:tc>
          <w:tcPr>
            <w:tcW w:w="1091" w:type="dxa"/>
            <w:tcBorders>
              <w:top w:val="nil"/>
              <w:left w:val="single" w:color="auto" w:sz="4" w:space="0"/>
              <w:bottom w:val="single" w:color="auto" w:sz="4" w:space="0"/>
              <w:right w:val="single" w:color="auto" w:sz="4" w:space="0"/>
            </w:tcBorders>
            <w:noWrap/>
            <w:vAlign w:val="center"/>
          </w:tcPr>
          <w:p w14:paraId="5DD64EC0">
            <w:pPr>
              <w:widowControl/>
              <w:jc w:val="center"/>
              <w:rPr>
                <w:rFonts w:hint="eastAsia" w:ascii="宋体" w:cs="宋体"/>
                <w:color w:val="000000"/>
                <w:kern w:val="0"/>
                <w:sz w:val="24"/>
              </w:rPr>
            </w:pPr>
            <w:r>
              <w:rPr>
                <w:rFonts w:ascii="宋体" w:hAnsi="宋体" w:cs="宋体"/>
                <w:color w:val="000000"/>
                <w:kern w:val="0"/>
                <w:sz w:val="24"/>
              </w:rPr>
              <w:t>2</w:t>
            </w:r>
          </w:p>
        </w:tc>
        <w:tc>
          <w:tcPr>
            <w:tcW w:w="2326" w:type="dxa"/>
            <w:tcBorders>
              <w:top w:val="nil"/>
              <w:left w:val="nil"/>
              <w:bottom w:val="single" w:color="auto" w:sz="4" w:space="0"/>
              <w:right w:val="single" w:color="auto" w:sz="4" w:space="0"/>
            </w:tcBorders>
            <w:noWrap/>
            <w:vAlign w:val="center"/>
          </w:tcPr>
          <w:p w14:paraId="02946CE9">
            <w:pPr>
              <w:widowControl/>
              <w:spacing w:line="360" w:lineRule="auto"/>
              <w:jc w:val="left"/>
              <w:rPr>
                <w:rFonts w:ascii="宋体" w:cs="宋体"/>
                <w:color w:val="000000"/>
                <w:kern w:val="0"/>
                <w:sz w:val="24"/>
              </w:rPr>
            </w:pPr>
          </w:p>
        </w:tc>
        <w:tc>
          <w:tcPr>
            <w:tcW w:w="5387" w:type="dxa"/>
            <w:tcBorders>
              <w:top w:val="nil"/>
              <w:left w:val="nil"/>
              <w:bottom w:val="single" w:color="auto" w:sz="4" w:space="0"/>
              <w:right w:val="single" w:color="auto" w:sz="4" w:space="0"/>
            </w:tcBorders>
            <w:noWrap/>
            <w:vAlign w:val="center"/>
          </w:tcPr>
          <w:p w14:paraId="2285BEBD">
            <w:pPr>
              <w:spacing w:line="360" w:lineRule="auto"/>
              <w:rPr>
                <w:rFonts w:ascii="宋体" w:cs="宋体"/>
                <w:color w:val="000000"/>
                <w:kern w:val="0"/>
                <w:szCs w:val="21"/>
              </w:rPr>
            </w:pPr>
          </w:p>
        </w:tc>
        <w:tc>
          <w:tcPr>
            <w:tcW w:w="1186" w:type="dxa"/>
            <w:tcBorders>
              <w:top w:val="nil"/>
              <w:left w:val="nil"/>
              <w:bottom w:val="single" w:color="auto" w:sz="4" w:space="0"/>
              <w:right w:val="single" w:color="auto" w:sz="4" w:space="0"/>
            </w:tcBorders>
            <w:noWrap/>
            <w:vAlign w:val="center"/>
          </w:tcPr>
          <w:p w14:paraId="720CFEE1">
            <w:pPr>
              <w:rPr>
                <w:rFonts w:ascii="宋体" w:hAnsi="宋体" w:cs="宋体"/>
                <w:color w:val="000000"/>
                <w:kern w:val="0"/>
                <w:sz w:val="24"/>
              </w:rPr>
            </w:pPr>
          </w:p>
        </w:tc>
        <w:tc>
          <w:tcPr>
            <w:tcW w:w="876" w:type="dxa"/>
            <w:tcBorders>
              <w:top w:val="nil"/>
              <w:left w:val="nil"/>
              <w:bottom w:val="single" w:color="auto" w:sz="4" w:space="0"/>
              <w:right w:val="single" w:color="auto" w:sz="4" w:space="0"/>
            </w:tcBorders>
            <w:noWrap/>
            <w:vAlign w:val="center"/>
          </w:tcPr>
          <w:p w14:paraId="7AF0AAF8">
            <w:pPr>
              <w:widowControl/>
              <w:spacing w:line="360" w:lineRule="auto"/>
              <w:jc w:val="center"/>
              <w:rPr>
                <w:rFonts w:ascii="宋体" w:cs="宋体"/>
                <w:color w:val="000000"/>
                <w:kern w:val="0"/>
                <w:sz w:val="24"/>
              </w:rPr>
            </w:pPr>
          </w:p>
        </w:tc>
        <w:tc>
          <w:tcPr>
            <w:tcW w:w="1340" w:type="dxa"/>
            <w:tcBorders>
              <w:top w:val="nil"/>
              <w:left w:val="nil"/>
              <w:bottom w:val="single" w:color="auto" w:sz="4" w:space="0"/>
              <w:right w:val="single" w:color="auto" w:sz="4" w:space="0"/>
            </w:tcBorders>
            <w:noWrap/>
            <w:vAlign w:val="center"/>
          </w:tcPr>
          <w:p w14:paraId="1D7DDABC">
            <w:pPr>
              <w:rPr>
                <w:rFonts w:ascii="宋体" w:cs="宋体"/>
                <w:color w:val="000000"/>
                <w:kern w:val="0"/>
                <w:sz w:val="24"/>
              </w:rPr>
            </w:pPr>
          </w:p>
        </w:tc>
        <w:tc>
          <w:tcPr>
            <w:tcW w:w="736" w:type="dxa"/>
            <w:tcBorders>
              <w:top w:val="nil"/>
              <w:left w:val="nil"/>
              <w:bottom w:val="single" w:color="auto" w:sz="4" w:space="0"/>
              <w:right w:val="single" w:color="auto" w:sz="4" w:space="0"/>
            </w:tcBorders>
            <w:noWrap/>
            <w:vAlign w:val="center"/>
          </w:tcPr>
          <w:p w14:paraId="14CF8849">
            <w:pPr>
              <w:widowControl/>
              <w:jc w:val="center"/>
              <w:rPr>
                <w:rFonts w:ascii="宋体" w:cs="宋体"/>
                <w:color w:val="000000"/>
                <w:kern w:val="0"/>
                <w:sz w:val="24"/>
              </w:rPr>
            </w:pPr>
          </w:p>
        </w:tc>
        <w:tc>
          <w:tcPr>
            <w:tcW w:w="1248" w:type="dxa"/>
            <w:tcBorders>
              <w:top w:val="nil"/>
              <w:left w:val="nil"/>
              <w:bottom w:val="single" w:color="auto" w:sz="4" w:space="0"/>
              <w:right w:val="single" w:color="auto" w:sz="4" w:space="0"/>
            </w:tcBorders>
            <w:noWrap/>
            <w:vAlign w:val="center"/>
          </w:tcPr>
          <w:p w14:paraId="73D7D572">
            <w:pPr>
              <w:widowControl/>
              <w:jc w:val="center"/>
              <w:rPr>
                <w:rFonts w:ascii="宋体" w:cs="宋体"/>
                <w:color w:val="000000"/>
                <w:kern w:val="0"/>
                <w:sz w:val="24"/>
              </w:rPr>
            </w:pPr>
          </w:p>
        </w:tc>
      </w:tr>
      <w:tr w14:paraId="19CF3055">
        <w:tblPrEx>
          <w:tblCellMar>
            <w:top w:w="0" w:type="dxa"/>
            <w:left w:w="108" w:type="dxa"/>
            <w:bottom w:w="0" w:type="dxa"/>
            <w:right w:w="108" w:type="dxa"/>
          </w:tblCellMar>
        </w:tblPrEx>
        <w:trPr>
          <w:trHeight w:val="466" w:hRule="atLeast"/>
        </w:trPr>
        <w:tc>
          <w:tcPr>
            <w:tcW w:w="1091" w:type="dxa"/>
            <w:tcBorders>
              <w:top w:val="single" w:color="auto" w:sz="4" w:space="0"/>
              <w:left w:val="single" w:color="auto" w:sz="4" w:space="0"/>
              <w:bottom w:val="single" w:color="auto" w:sz="4" w:space="0"/>
              <w:right w:val="single" w:color="auto" w:sz="4" w:space="0"/>
            </w:tcBorders>
            <w:noWrap/>
            <w:vAlign w:val="center"/>
          </w:tcPr>
          <w:p w14:paraId="559324C3">
            <w:pPr>
              <w:jc w:val="center"/>
              <w:rPr>
                <w:rFonts w:ascii="宋体" w:hAnsi="宋体" w:cs="宋体"/>
                <w:color w:val="000000"/>
                <w:kern w:val="0"/>
                <w:sz w:val="24"/>
              </w:rPr>
            </w:pPr>
            <w:r>
              <w:rPr>
                <w:rFonts w:ascii="宋体" w:hAnsi="宋体" w:cs="宋体"/>
                <w:color w:val="000000"/>
                <w:kern w:val="0"/>
                <w:sz w:val="24"/>
              </w:rPr>
              <w:t>3</w:t>
            </w:r>
          </w:p>
        </w:tc>
        <w:tc>
          <w:tcPr>
            <w:tcW w:w="2326" w:type="dxa"/>
            <w:tcBorders>
              <w:top w:val="single" w:color="auto" w:sz="4" w:space="0"/>
              <w:left w:val="nil"/>
              <w:bottom w:val="single" w:color="auto" w:sz="4" w:space="0"/>
              <w:right w:val="single" w:color="auto" w:sz="4" w:space="0"/>
            </w:tcBorders>
            <w:noWrap/>
            <w:vAlign w:val="center"/>
          </w:tcPr>
          <w:p w14:paraId="66F6D3FC">
            <w:pPr>
              <w:jc w:val="left"/>
              <w:rPr>
                <w:rFonts w:hint="eastAsia" w:ascii="宋体" w:cs="宋体"/>
                <w:kern w:val="0"/>
                <w:sz w:val="24"/>
              </w:rPr>
            </w:pPr>
          </w:p>
        </w:tc>
        <w:tc>
          <w:tcPr>
            <w:tcW w:w="5387" w:type="dxa"/>
            <w:tcBorders>
              <w:top w:val="single" w:color="auto" w:sz="4" w:space="0"/>
              <w:left w:val="nil"/>
              <w:bottom w:val="single" w:color="auto" w:sz="4" w:space="0"/>
              <w:right w:val="single" w:color="auto" w:sz="4" w:space="0"/>
            </w:tcBorders>
            <w:noWrap/>
            <w:vAlign w:val="center"/>
          </w:tcPr>
          <w:p w14:paraId="1F2700B3">
            <w:pPr>
              <w:spacing w:line="360" w:lineRule="auto"/>
              <w:rPr>
                <w:rFonts w:ascii="宋体" w:cs="宋体"/>
                <w:kern w:val="0"/>
                <w:sz w:val="24"/>
              </w:rPr>
            </w:pPr>
          </w:p>
        </w:tc>
        <w:tc>
          <w:tcPr>
            <w:tcW w:w="1186" w:type="dxa"/>
            <w:tcBorders>
              <w:top w:val="single" w:color="auto" w:sz="4" w:space="0"/>
              <w:left w:val="nil"/>
              <w:bottom w:val="single" w:color="auto" w:sz="4" w:space="0"/>
              <w:right w:val="single" w:color="auto" w:sz="4" w:space="0"/>
            </w:tcBorders>
            <w:noWrap/>
            <w:vAlign w:val="center"/>
          </w:tcPr>
          <w:p w14:paraId="16977B53">
            <w:pPr>
              <w:spacing w:line="360" w:lineRule="auto"/>
              <w:rPr>
                <w:rFonts w:ascii="宋体" w:hAnsi="宋体" w:cs="宋体"/>
                <w:kern w:val="0"/>
                <w:sz w:val="24"/>
              </w:rPr>
            </w:pPr>
          </w:p>
        </w:tc>
        <w:tc>
          <w:tcPr>
            <w:tcW w:w="876" w:type="dxa"/>
            <w:tcBorders>
              <w:top w:val="single" w:color="auto" w:sz="4" w:space="0"/>
              <w:left w:val="nil"/>
              <w:bottom w:val="single" w:color="auto" w:sz="4" w:space="0"/>
              <w:right w:val="single" w:color="auto" w:sz="4" w:space="0"/>
            </w:tcBorders>
            <w:noWrap/>
            <w:vAlign w:val="center"/>
          </w:tcPr>
          <w:p w14:paraId="4C41C2CB">
            <w:pPr>
              <w:jc w:val="center"/>
              <w:rPr>
                <w:rFonts w:ascii="宋体" w:cs="宋体"/>
                <w:kern w:val="0"/>
                <w:sz w:val="24"/>
              </w:rPr>
            </w:pPr>
          </w:p>
        </w:tc>
        <w:tc>
          <w:tcPr>
            <w:tcW w:w="1340" w:type="dxa"/>
            <w:tcBorders>
              <w:top w:val="single" w:color="auto" w:sz="4" w:space="0"/>
              <w:left w:val="nil"/>
              <w:bottom w:val="single" w:color="auto" w:sz="4" w:space="0"/>
              <w:right w:val="single" w:color="auto" w:sz="4" w:space="0"/>
            </w:tcBorders>
            <w:noWrap/>
            <w:vAlign w:val="center"/>
          </w:tcPr>
          <w:p w14:paraId="572B46D6">
            <w:pPr>
              <w:spacing w:line="360" w:lineRule="auto"/>
              <w:rPr>
                <w:rFonts w:ascii="宋体" w:cs="宋体"/>
                <w:kern w:val="0"/>
                <w:sz w:val="24"/>
              </w:rPr>
            </w:pPr>
          </w:p>
        </w:tc>
        <w:tc>
          <w:tcPr>
            <w:tcW w:w="736" w:type="dxa"/>
            <w:tcBorders>
              <w:top w:val="single" w:color="auto" w:sz="4" w:space="0"/>
              <w:left w:val="nil"/>
              <w:bottom w:val="single" w:color="auto" w:sz="4" w:space="0"/>
              <w:right w:val="single" w:color="auto" w:sz="4" w:space="0"/>
            </w:tcBorders>
            <w:noWrap/>
            <w:vAlign w:val="center"/>
          </w:tcPr>
          <w:p w14:paraId="65C8A234">
            <w:pPr>
              <w:widowControl/>
              <w:jc w:val="center"/>
              <w:rPr>
                <w:rFonts w:ascii="宋体" w:cs="宋体"/>
                <w:color w:val="000000"/>
                <w:kern w:val="0"/>
                <w:sz w:val="24"/>
              </w:rPr>
            </w:pPr>
          </w:p>
        </w:tc>
        <w:tc>
          <w:tcPr>
            <w:tcW w:w="1248" w:type="dxa"/>
            <w:tcBorders>
              <w:top w:val="single" w:color="auto" w:sz="4" w:space="0"/>
              <w:left w:val="nil"/>
              <w:bottom w:val="single" w:color="auto" w:sz="4" w:space="0"/>
              <w:right w:val="single" w:color="auto" w:sz="4" w:space="0"/>
            </w:tcBorders>
            <w:noWrap/>
            <w:vAlign w:val="center"/>
          </w:tcPr>
          <w:p w14:paraId="0691FAC7">
            <w:pPr>
              <w:widowControl/>
              <w:jc w:val="center"/>
              <w:rPr>
                <w:rFonts w:ascii="宋体" w:cs="宋体"/>
                <w:color w:val="000000"/>
                <w:kern w:val="0"/>
                <w:sz w:val="24"/>
              </w:rPr>
            </w:pPr>
          </w:p>
        </w:tc>
      </w:tr>
      <w:tr w14:paraId="7B48186C">
        <w:tblPrEx>
          <w:tblCellMar>
            <w:top w:w="0" w:type="dxa"/>
            <w:left w:w="108" w:type="dxa"/>
            <w:bottom w:w="0" w:type="dxa"/>
            <w:right w:w="108" w:type="dxa"/>
          </w:tblCellMar>
        </w:tblPrEx>
        <w:trPr>
          <w:trHeight w:val="480" w:hRule="atLeast"/>
        </w:trPr>
        <w:tc>
          <w:tcPr>
            <w:tcW w:w="1091" w:type="dxa"/>
            <w:tcBorders>
              <w:top w:val="nil"/>
              <w:left w:val="single" w:color="auto" w:sz="4" w:space="0"/>
              <w:bottom w:val="single" w:color="auto" w:sz="4" w:space="0"/>
              <w:right w:val="single" w:color="auto" w:sz="4" w:space="0"/>
            </w:tcBorders>
            <w:noWrap/>
            <w:vAlign w:val="center"/>
          </w:tcPr>
          <w:p w14:paraId="2EE34F56">
            <w:pPr>
              <w:widowControl/>
              <w:jc w:val="center"/>
              <w:rPr>
                <w:rFonts w:ascii="宋体" w:cs="宋体"/>
                <w:color w:val="000000"/>
                <w:kern w:val="0"/>
                <w:sz w:val="24"/>
              </w:rPr>
            </w:pPr>
            <w:r>
              <w:rPr>
                <w:rFonts w:ascii="宋体" w:hAnsi="宋体" w:cs="宋体"/>
                <w:color w:val="000000"/>
                <w:kern w:val="0"/>
                <w:sz w:val="24"/>
              </w:rPr>
              <w:t>4</w:t>
            </w:r>
          </w:p>
        </w:tc>
        <w:tc>
          <w:tcPr>
            <w:tcW w:w="2326" w:type="dxa"/>
            <w:tcBorders>
              <w:top w:val="nil"/>
              <w:left w:val="nil"/>
              <w:bottom w:val="single" w:color="auto" w:sz="4" w:space="0"/>
              <w:right w:val="single" w:color="auto" w:sz="4" w:space="0"/>
            </w:tcBorders>
            <w:noWrap/>
            <w:vAlign w:val="center"/>
          </w:tcPr>
          <w:p w14:paraId="6E6745FB">
            <w:pPr>
              <w:widowControl/>
              <w:jc w:val="left"/>
              <w:rPr>
                <w:rFonts w:ascii="宋体" w:cs="宋体"/>
                <w:kern w:val="0"/>
                <w:sz w:val="24"/>
              </w:rPr>
            </w:pPr>
          </w:p>
        </w:tc>
        <w:tc>
          <w:tcPr>
            <w:tcW w:w="5387" w:type="dxa"/>
            <w:tcBorders>
              <w:top w:val="nil"/>
              <w:left w:val="nil"/>
              <w:bottom w:val="single" w:color="auto" w:sz="4" w:space="0"/>
              <w:right w:val="single" w:color="auto" w:sz="4" w:space="0"/>
            </w:tcBorders>
            <w:noWrap/>
            <w:vAlign w:val="center"/>
          </w:tcPr>
          <w:p w14:paraId="2D4B2CBD">
            <w:pPr>
              <w:spacing w:line="360" w:lineRule="auto"/>
              <w:rPr>
                <w:rFonts w:ascii="宋体" w:cs="宋体"/>
                <w:kern w:val="0"/>
                <w:sz w:val="24"/>
              </w:rPr>
            </w:pPr>
          </w:p>
        </w:tc>
        <w:tc>
          <w:tcPr>
            <w:tcW w:w="1186" w:type="dxa"/>
            <w:tcBorders>
              <w:top w:val="nil"/>
              <w:left w:val="nil"/>
              <w:bottom w:val="single" w:color="auto" w:sz="4" w:space="0"/>
              <w:right w:val="single" w:color="auto" w:sz="4" w:space="0"/>
            </w:tcBorders>
            <w:noWrap/>
            <w:vAlign w:val="center"/>
          </w:tcPr>
          <w:p w14:paraId="0C44CD5B">
            <w:pPr>
              <w:spacing w:line="360" w:lineRule="auto"/>
              <w:rPr>
                <w:rFonts w:ascii="宋体" w:cs="宋体"/>
                <w:kern w:val="0"/>
                <w:sz w:val="24"/>
              </w:rPr>
            </w:pPr>
          </w:p>
        </w:tc>
        <w:tc>
          <w:tcPr>
            <w:tcW w:w="876" w:type="dxa"/>
            <w:tcBorders>
              <w:top w:val="nil"/>
              <w:left w:val="nil"/>
              <w:bottom w:val="single" w:color="auto" w:sz="4" w:space="0"/>
              <w:right w:val="single" w:color="auto" w:sz="4" w:space="0"/>
            </w:tcBorders>
            <w:noWrap/>
            <w:vAlign w:val="center"/>
          </w:tcPr>
          <w:p w14:paraId="357887B7">
            <w:pPr>
              <w:widowControl/>
              <w:jc w:val="center"/>
              <w:rPr>
                <w:rFonts w:ascii="宋体" w:cs="宋体"/>
                <w:kern w:val="0"/>
                <w:sz w:val="24"/>
              </w:rPr>
            </w:pPr>
          </w:p>
        </w:tc>
        <w:tc>
          <w:tcPr>
            <w:tcW w:w="1340" w:type="dxa"/>
            <w:tcBorders>
              <w:top w:val="nil"/>
              <w:left w:val="nil"/>
              <w:bottom w:val="single" w:color="auto" w:sz="4" w:space="0"/>
              <w:right w:val="single" w:color="auto" w:sz="4" w:space="0"/>
            </w:tcBorders>
            <w:noWrap/>
            <w:vAlign w:val="center"/>
          </w:tcPr>
          <w:p w14:paraId="33DB8EC9">
            <w:pPr>
              <w:spacing w:line="360" w:lineRule="auto"/>
              <w:rPr>
                <w:rFonts w:ascii="宋体" w:cs="宋体"/>
                <w:kern w:val="0"/>
                <w:sz w:val="24"/>
              </w:rPr>
            </w:pPr>
          </w:p>
        </w:tc>
        <w:tc>
          <w:tcPr>
            <w:tcW w:w="736" w:type="dxa"/>
            <w:tcBorders>
              <w:top w:val="nil"/>
              <w:left w:val="nil"/>
              <w:bottom w:val="single" w:color="auto" w:sz="4" w:space="0"/>
              <w:right w:val="single" w:color="auto" w:sz="4" w:space="0"/>
            </w:tcBorders>
            <w:noWrap/>
            <w:vAlign w:val="center"/>
          </w:tcPr>
          <w:p w14:paraId="15A4CEF8">
            <w:pPr>
              <w:widowControl/>
              <w:jc w:val="center"/>
              <w:rPr>
                <w:rFonts w:ascii="宋体" w:cs="宋体"/>
                <w:color w:val="000000"/>
                <w:kern w:val="0"/>
                <w:sz w:val="24"/>
              </w:rPr>
            </w:pPr>
          </w:p>
        </w:tc>
        <w:tc>
          <w:tcPr>
            <w:tcW w:w="1248" w:type="dxa"/>
            <w:tcBorders>
              <w:top w:val="nil"/>
              <w:left w:val="nil"/>
              <w:bottom w:val="single" w:color="auto" w:sz="4" w:space="0"/>
              <w:right w:val="single" w:color="auto" w:sz="4" w:space="0"/>
            </w:tcBorders>
            <w:noWrap/>
            <w:vAlign w:val="center"/>
          </w:tcPr>
          <w:p w14:paraId="4A9B1D5D">
            <w:pPr>
              <w:widowControl/>
              <w:jc w:val="center"/>
              <w:rPr>
                <w:rFonts w:ascii="宋体" w:cs="宋体"/>
                <w:color w:val="000000"/>
                <w:kern w:val="0"/>
                <w:sz w:val="24"/>
              </w:rPr>
            </w:pPr>
          </w:p>
        </w:tc>
      </w:tr>
      <w:tr w14:paraId="37FDD776">
        <w:tblPrEx>
          <w:tblCellMar>
            <w:top w:w="0" w:type="dxa"/>
            <w:left w:w="108" w:type="dxa"/>
            <w:bottom w:w="0" w:type="dxa"/>
            <w:right w:w="108" w:type="dxa"/>
          </w:tblCellMar>
        </w:tblPrEx>
        <w:trPr>
          <w:trHeight w:val="480" w:hRule="atLeast"/>
        </w:trPr>
        <w:tc>
          <w:tcPr>
            <w:tcW w:w="1091" w:type="dxa"/>
            <w:tcBorders>
              <w:top w:val="nil"/>
              <w:left w:val="single" w:color="auto" w:sz="4" w:space="0"/>
              <w:bottom w:val="single" w:color="auto" w:sz="4" w:space="0"/>
              <w:right w:val="single" w:color="auto" w:sz="4" w:space="0"/>
            </w:tcBorders>
            <w:noWrap/>
            <w:vAlign w:val="center"/>
          </w:tcPr>
          <w:p w14:paraId="2A28F4C2">
            <w:pPr>
              <w:widowControl/>
              <w:jc w:val="center"/>
              <w:rPr>
                <w:rFonts w:ascii="宋体" w:cs="宋体"/>
                <w:color w:val="000000"/>
                <w:kern w:val="0"/>
                <w:sz w:val="24"/>
              </w:rPr>
            </w:pPr>
            <w:r>
              <w:rPr>
                <w:rFonts w:ascii="宋体" w:hAnsi="宋体" w:cs="宋体"/>
                <w:color w:val="000000"/>
                <w:kern w:val="0"/>
                <w:sz w:val="24"/>
              </w:rPr>
              <w:t>5</w:t>
            </w:r>
          </w:p>
        </w:tc>
        <w:tc>
          <w:tcPr>
            <w:tcW w:w="2326" w:type="dxa"/>
            <w:tcBorders>
              <w:top w:val="nil"/>
              <w:left w:val="nil"/>
              <w:bottom w:val="single" w:color="auto" w:sz="4" w:space="0"/>
              <w:right w:val="single" w:color="auto" w:sz="4" w:space="0"/>
            </w:tcBorders>
            <w:noWrap/>
            <w:vAlign w:val="center"/>
          </w:tcPr>
          <w:p w14:paraId="2E03751A">
            <w:pPr>
              <w:widowControl/>
              <w:jc w:val="left"/>
              <w:rPr>
                <w:rFonts w:ascii="宋体" w:cs="宋体"/>
                <w:kern w:val="0"/>
                <w:sz w:val="24"/>
              </w:rPr>
            </w:pPr>
          </w:p>
        </w:tc>
        <w:tc>
          <w:tcPr>
            <w:tcW w:w="5387" w:type="dxa"/>
            <w:tcBorders>
              <w:top w:val="nil"/>
              <w:left w:val="nil"/>
              <w:bottom w:val="single" w:color="auto" w:sz="4" w:space="0"/>
              <w:right w:val="single" w:color="auto" w:sz="4" w:space="0"/>
            </w:tcBorders>
            <w:noWrap/>
            <w:vAlign w:val="center"/>
          </w:tcPr>
          <w:p w14:paraId="4BB859AD">
            <w:pPr>
              <w:spacing w:line="360" w:lineRule="auto"/>
              <w:rPr>
                <w:rFonts w:ascii="宋体" w:cs="宋体"/>
                <w:kern w:val="0"/>
                <w:sz w:val="24"/>
              </w:rPr>
            </w:pPr>
          </w:p>
        </w:tc>
        <w:tc>
          <w:tcPr>
            <w:tcW w:w="1186" w:type="dxa"/>
            <w:tcBorders>
              <w:top w:val="nil"/>
              <w:left w:val="nil"/>
              <w:bottom w:val="single" w:color="auto" w:sz="4" w:space="0"/>
              <w:right w:val="single" w:color="auto" w:sz="4" w:space="0"/>
            </w:tcBorders>
            <w:noWrap/>
            <w:vAlign w:val="center"/>
          </w:tcPr>
          <w:p w14:paraId="6B2E634C">
            <w:pPr>
              <w:spacing w:line="360" w:lineRule="auto"/>
              <w:rPr>
                <w:rFonts w:ascii="宋体" w:hAnsi="宋体" w:cs="宋体"/>
                <w:kern w:val="0"/>
                <w:sz w:val="24"/>
              </w:rPr>
            </w:pPr>
          </w:p>
        </w:tc>
        <w:tc>
          <w:tcPr>
            <w:tcW w:w="876" w:type="dxa"/>
            <w:tcBorders>
              <w:top w:val="nil"/>
              <w:left w:val="nil"/>
              <w:bottom w:val="single" w:color="auto" w:sz="4" w:space="0"/>
              <w:right w:val="single" w:color="auto" w:sz="4" w:space="0"/>
            </w:tcBorders>
            <w:noWrap/>
            <w:vAlign w:val="center"/>
          </w:tcPr>
          <w:p w14:paraId="71019248">
            <w:pPr>
              <w:widowControl/>
              <w:jc w:val="center"/>
              <w:rPr>
                <w:rFonts w:ascii="宋体" w:cs="宋体"/>
                <w:kern w:val="0"/>
                <w:sz w:val="24"/>
              </w:rPr>
            </w:pPr>
          </w:p>
        </w:tc>
        <w:tc>
          <w:tcPr>
            <w:tcW w:w="1340" w:type="dxa"/>
            <w:tcBorders>
              <w:top w:val="nil"/>
              <w:left w:val="nil"/>
              <w:bottom w:val="single" w:color="auto" w:sz="4" w:space="0"/>
              <w:right w:val="single" w:color="auto" w:sz="4" w:space="0"/>
            </w:tcBorders>
            <w:noWrap/>
            <w:vAlign w:val="center"/>
          </w:tcPr>
          <w:p w14:paraId="35CA1565">
            <w:pPr>
              <w:spacing w:line="360" w:lineRule="auto"/>
              <w:rPr>
                <w:rFonts w:ascii="宋体" w:cs="宋体"/>
                <w:kern w:val="0"/>
                <w:sz w:val="24"/>
              </w:rPr>
            </w:pPr>
          </w:p>
        </w:tc>
        <w:tc>
          <w:tcPr>
            <w:tcW w:w="736" w:type="dxa"/>
            <w:tcBorders>
              <w:top w:val="nil"/>
              <w:left w:val="nil"/>
              <w:bottom w:val="single" w:color="auto" w:sz="4" w:space="0"/>
              <w:right w:val="single" w:color="auto" w:sz="4" w:space="0"/>
            </w:tcBorders>
            <w:noWrap/>
            <w:vAlign w:val="center"/>
          </w:tcPr>
          <w:p w14:paraId="25F91D14">
            <w:pPr>
              <w:widowControl/>
              <w:jc w:val="center"/>
              <w:rPr>
                <w:rFonts w:ascii="宋体" w:cs="宋体"/>
                <w:color w:val="000000"/>
                <w:kern w:val="0"/>
                <w:sz w:val="24"/>
              </w:rPr>
            </w:pPr>
          </w:p>
        </w:tc>
        <w:tc>
          <w:tcPr>
            <w:tcW w:w="1248" w:type="dxa"/>
            <w:tcBorders>
              <w:top w:val="nil"/>
              <w:left w:val="nil"/>
              <w:bottom w:val="single" w:color="auto" w:sz="4" w:space="0"/>
              <w:right w:val="single" w:color="auto" w:sz="4" w:space="0"/>
            </w:tcBorders>
            <w:noWrap/>
            <w:vAlign w:val="center"/>
          </w:tcPr>
          <w:p w14:paraId="1711A9A1">
            <w:pPr>
              <w:widowControl/>
              <w:jc w:val="center"/>
              <w:rPr>
                <w:rFonts w:ascii="宋体" w:cs="宋体"/>
                <w:color w:val="000000"/>
                <w:kern w:val="0"/>
                <w:sz w:val="24"/>
              </w:rPr>
            </w:pPr>
          </w:p>
        </w:tc>
      </w:tr>
      <w:tr w14:paraId="19FF189B">
        <w:tblPrEx>
          <w:tblCellMar>
            <w:top w:w="0" w:type="dxa"/>
            <w:left w:w="108" w:type="dxa"/>
            <w:bottom w:w="0" w:type="dxa"/>
            <w:right w:w="108" w:type="dxa"/>
          </w:tblCellMar>
        </w:tblPrEx>
        <w:trPr>
          <w:trHeight w:val="480" w:hRule="atLeast"/>
        </w:trPr>
        <w:tc>
          <w:tcPr>
            <w:tcW w:w="1091" w:type="dxa"/>
            <w:tcBorders>
              <w:top w:val="nil"/>
              <w:left w:val="single" w:color="auto" w:sz="4" w:space="0"/>
              <w:bottom w:val="single" w:color="auto" w:sz="4" w:space="0"/>
              <w:right w:val="single" w:color="auto" w:sz="4" w:space="0"/>
            </w:tcBorders>
            <w:noWrap/>
            <w:vAlign w:val="center"/>
          </w:tcPr>
          <w:p w14:paraId="6CDA8373">
            <w:pPr>
              <w:widowControl/>
              <w:jc w:val="center"/>
              <w:rPr>
                <w:rFonts w:ascii="宋体" w:hAnsi="宋体" w:cs="宋体"/>
                <w:color w:val="000000"/>
                <w:kern w:val="0"/>
                <w:sz w:val="24"/>
              </w:rPr>
            </w:pPr>
          </w:p>
        </w:tc>
        <w:tc>
          <w:tcPr>
            <w:tcW w:w="2326" w:type="dxa"/>
            <w:tcBorders>
              <w:top w:val="nil"/>
              <w:left w:val="nil"/>
              <w:bottom w:val="single" w:color="auto" w:sz="4" w:space="0"/>
              <w:right w:val="single" w:color="auto" w:sz="4" w:space="0"/>
            </w:tcBorders>
            <w:noWrap/>
            <w:vAlign w:val="center"/>
          </w:tcPr>
          <w:p w14:paraId="5D7F3857">
            <w:pPr>
              <w:widowControl/>
              <w:jc w:val="left"/>
              <w:rPr>
                <w:rFonts w:ascii="宋体" w:cs="宋体"/>
                <w:kern w:val="0"/>
                <w:sz w:val="24"/>
              </w:rPr>
            </w:pPr>
          </w:p>
        </w:tc>
        <w:tc>
          <w:tcPr>
            <w:tcW w:w="5387" w:type="dxa"/>
            <w:tcBorders>
              <w:top w:val="nil"/>
              <w:left w:val="nil"/>
              <w:bottom w:val="single" w:color="auto" w:sz="4" w:space="0"/>
              <w:right w:val="single" w:color="auto" w:sz="4" w:space="0"/>
            </w:tcBorders>
            <w:noWrap/>
            <w:vAlign w:val="center"/>
          </w:tcPr>
          <w:p w14:paraId="7A562CDA">
            <w:pPr>
              <w:spacing w:line="360" w:lineRule="auto"/>
              <w:rPr>
                <w:rFonts w:ascii="宋体" w:cs="宋体"/>
                <w:kern w:val="0"/>
                <w:sz w:val="24"/>
              </w:rPr>
            </w:pPr>
          </w:p>
        </w:tc>
        <w:tc>
          <w:tcPr>
            <w:tcW w:w="1186" w:type="dxa"/>
            <w:tcBorders>
              <w:top w:val="nil"/>
              <w:left w:val="nil"/>
              <w:bottom w:val="single" w:color="auto" w:sz="4" w:space="0"/>
              <w:right w:val="single" w:color="auto" w:sz="4" w:space="0"/>
            </w:tcBorders>
            <w:noWrap/>
            <w:vAlign w:val="center"/>
          </w:tcPr>
          <w:p w14:paraId="25551AB3">
            <w:pPr>
              <w:spacing w:line="360" w:lineRule="auto"/>
              <w:rPr>
                <w:rFonts w:ascii="宋体" w:cs="宋体"/>
                <w:kern w:val="0"/>
                <w:sz w:val="24"/>
              </w:rPr>
            </w:pPr>
          </w:p>
        </w:tc>
        <w:tc>
          <w:tcPr>
            <w:tcW w:w="876" w:type="dxa"/>
            <w:tcBorders>
              <w:top w:val="nil"/>
              <w:left w:val="nil"/>
              <w:bottom w:val="single" w:color="auto" w:sz="4" w:space="0"/>
              <w:right w:val="single" w:color="auto" w:sz="4" w:space="0"/>
            </w:tcBorders>
            <w:noWrap/>
            <w:vAlign w:val="center"/>
          </w:tcPr>
          <w:p w14:paraId="001A42F4">
            <w:pPr>
              <w:widowControl/>
              <w:jc w:val="center"/>
              <w:rPr>
                <w:rFonts w:ascii="宋体" w:cs="宋体"/>
                <w:kern w:val="0"/>
                <w:sz w:val="24"/>
              </w:rPr>
            </w:pPr>
          </w:p>
        </w:tc>
        <w:tc>
          <w:tcPr>
            <w:tcW w:w="1340" w:type="dxa"/>
            <w:tcBorders>
              <w:top w:val="nil"/>
              <w:left w:val="nil"/>
              <w:bottom w:val="single" w:color="auto" w:sz="4" w:space="0"/>
              <w:right w:val="single" w:color="auto" w:sz="4" w:space="0"/>
            </w:tcBorders>
            <w:noWrap/>
            <w:vAlign w:val="center"/>
          </w:tcPr>
          <w:p w14:paraId="37CFC5A5">
            <w:pPr>
              <w:spacing w:line="360" w:lineRule="auto"/>
              <w:rPr>
                <w:rFonts w:ascii="宋体" w:cs="宋体"/>
                <w:kern w:val="0"/>
                <w:sz w:val="24"/>
              </w:rPr>
            </w:pPr>
          </w:p>
        </w:tc>
        <w:tc>
          <w:tcPr>
            <w:tcW w:w="736" w:type="dxa"/>
            <w:tcBorders>
              <w:top w:val="nil"/>
              <w:left w:val="nil"/>
              <w:bottom w:val="single" w:color="auto" w:sz="4" w:space="0"/>
              <w:right w:val="single" w:color="auto" w:sz="4" w:space="0"/>
            </w:tcBorders>
            <w:noWrap/>
            <w:vAlign w:val="center"/>
          </w:tcPr>
          <w:p w14:paraId="77DE5F01">
            <w:pPr>
              <w:widowControl/>
              <w:jc w:val="center"/>
              <w:rPr>
                <w:rFonts w:ascii="宋体" w:cs="宋体"/>
                <w:color w:val="000000"/>
                <w:kern w:val="0"/>
                <w:sz w:val="24"/>
              </w:rPr>
            </w:pPr>
          </w:p>
        </w:tc>
        <w:tc>
          <w:tcPr>
            <w:tcW w:w="1248" w:type="dxa"/>
            <w:tcBorders>
              <w:top w:val="nil"/>
              <w:left w:val="nil"/>
              <w:bottom w:val="single" w:color="auto" w:sz="4" w:space="0"/>
              <w:right w:val="single" w:color="auto" w:sz="4" w:space="0"/>
            </w:tcBorders>
            <w:noWrap/>
            <w:vAlign w:val="center"/>
          </w:tcPr>
          <w:p w14:paraId="35737EC8">
            <w:pPr>
              <w:widowControl/>
              <w:jc w:val="center"/>
              <w:rPr>
                <w:rFonts w:ascii="宋体" w:cs="宋体"/>
                <w:color w:val="000000"/>
                <w:kern w:val="0"/>
                <w:sz w:val="24"/>
              </w:rPr>
            </w:pPr>
          </w:p>
        </w:tc>
      </w:tr>
      <w:tr w14:paraId="5B7DF9E8">
        <w:tblPrEx>
          <w:tblCellMar>
            <w:top w:w="0" w:type="dxa"/>
            <w:left w:w="108" w:type="dxa"/>
            <w:bottom w:w="0" w:type="dxa"/>
            <w:right w:w="108" w:type="dxa"/>
          </w:tblCellMar>
        </w:tblPrEx>
        <w:trPr>
          <w:trHeight w:val="480" w:hRule="atLeast"/>
        </w:trPr>
        <w:tc>
          <w:tcPr>
            <w:tcW w:w="1091" w:type="dxa"/>
            <w:tcBorders>
              <w:top w:val="nil"/>
              <w:left w:val="single" w:color="auto" w:sz="4" w:space="0"/>
              <w:bottom w:val="single" w:color="auto" w:sz="4" w:space="0"/>
              <w:right w:val="single" w:color="auto" w:sz="4" w:space="0"/>
            </w:tcBorders>
            <w:noWrap/>
            <w:vAlign w:val="center"/>
          </w:tcPr>
          <w:p w14:paraId="3F589F87">
            <w:pPr>
              <w:widowControl/>
              <w:jc w:val="center"/>
              <w:rPr>
                <w:rFonts w:ascii="宋体" w:cs="宋体"/>
                <w:color w:val="000000"/>
                <w:kern w:val="0"/>
                <w:sz w:val="24"/>
              </w:rPr>
            </w:pPr>
            <w:r>
              <w:rPr>
                <w:rFonts w:ascii="宋体" w:hAnsi="宋体" w:cs="宋体"/>
                <w:color w:val="000000"/>
                <w:kern w:val="0"/>
                <w:sz w:val="24"/>
              </w:rPr>
              <w:t>10</w:t>
            </w:r>
          </w:p>
        </w:tc>
        <w:tc>
          <w:tcPr>
            <w:tcW w:w="2326" w:type="dxa"/>
            <w:tcBorders>
              <w:top w:val="nil"/>
              <w:left w:val="nil"/>
              <w:bottom w:val="single" w:color="auto" w:sz="4" w:space="0"/>
              <w:right w:val="single" w:color="auto" w:sz="4" w:space="0"/>
            </w:tcBorders>
            <w:noWrap/>
            <w:vAlign w:val="center"/>
          </w:tcPr>
          <w:p w14:paraId="2BFF940A">
            <w:pPr>
              <w:widowControl/>
              <w:jc w:val="left"/>
              <w:rPr>
                <w:rFonts w:ascii="宋体" w:cs="宋体"/>
                <w:kern w:val="0"/>
                <w:sz w:val="24"/>
              </w:rPr>
            </w:pPr>
          </w:p>
        </w:tc>
        <w:tc>
          <w:tcPr>
            <w:tcW w:w="5387" w:type="dxa"/>
            <w:tcBorders>
              <w:top w:val="nil"/>
              <w:left w:val="nil"/>
              <w:bottom w:val="single" w:color="auto" w:sz="4" w:space="0"/>
              <w:right w:val="single" w:color="auto" w:sz="4" w:space="0"/>
            </w:tcBorders>
            <w:noWrap/>
            <w:vAlign w:val="center"/>
          </w:tcPr>
          <w:p w14:paraId="1204E037">
            <w:pPr>
              <w:spacing w:line="360" w:lineRule="auto"/>
              <w:rPr>
                <w:rFonts w:ascii="宋体" w:cs="宋体"/>
                <w:kern w:val="0"/>
                <w:sz w:val="24"/>
              </w:rPr>
            </w:pPr>
          </w:p>
        </w:tc>
        <w:tc>
          <w:tcPr>
            <w:tcW w:w="1186" w:type="dxa"/>
            <w:tcBorders>
              <w:top w:val="nil"/>
              <w:left w:val="nil"/>
              <w:bottom w:val="single" w:color="auto" w:sz="4" w:space="0"/>
              <w:right w:val="single" w:color="auto" w:sz="4" w:space="0"/>
            </w:tcBorders>
            <w:noWrap/>
            <w:vAlign w:val="center"/>
          </w:tcPr>
          <w:p w14:paraId="71006C68">
            <w:pPr>
              <w:spacing w:line="360" w:lineRule="auto"/>
              <w:rPr>
                <w:rFonts w:ascii="宋体" w:cs="宋体"/>
                <w:color w:val="000000"/>
                <w:kern w:val="0"/>
                <w:sz w:val="24"/>
              </w:rPr>
            </w:pPr>
          </w:p>
        </w:tc>
        <w:tc>
          <w:tcPr>
            <w:tcW w:w="876" w:type="dxa"/>
            <w:tcBorders>
              <w:top w:val="nil"/>
              <w:left w:val="nil"/>
              <w:bottom w:val="single" w:color="auto" w:sz="4" w:space="0"/>
              <w:right w:val="single" w:color="auto" w:sz="4" w:space="0"/>
            </w:tcBorders>
            <w:noWrap/>
            <w:vAlign w:val="center"/>
          </w:tcPr>
          <w:p w14:paraId="26124525">
            <w:pPr>
              <w:widowControl/>
              <w:jc w:val="center"/>
              <w:rPr>
                <w:rFonts w:ascii="宋体" w:cs="宋体"/>
                <w:kern w:val="0"/>
                <w:sz w:val="24"/>
              </w:rPr>
            </w:pPr>
          </w:p>
        </w:tc>
        <w:tc>
          <w:tcPr>
            <w:tcW w:w="1340" w:type="dxa"/>
            <w:tcBorders>
              <w:top w:val="nil"/>
              <w:left w:val="nil"/>
              <w:bottom w:val="single" w:color="auto" w:sz="4" w:space="0"/>
              <w:right w:val="single" w:color="auto" w:sz="4" w:space="0"/>
            </w:tcBorders>
            <w:noWrap/>
            <w:vAlign w:val="center"/>
          </w:tcPr>
          <w:p w14:paraId="4ED45C77">
            <w:pPr>
              <w:spacing w:line="360" w:lineRule="auto"/>
              <w:rPr>
                <w:rFonts w:ascii="宋体" w:cs="宋体"/>
                <w:color w:val="000000"/>
                <w:kern w:val="0"/>
                <w:sz w:val="24"/>
              </w:rPr>
            </w:pPr>
          </w:p>
        </w:tc>
        <w:tc>
          <w:tcPr>
            <w:tcW w:w="736" w:type="dxa"/>
            <w:tcBorders>
              <w:top w:val="nil"/>
              <w:left w:val="nil"/>
              <w:bottom w:val="single" w:color="auto" w:sz="4" w:space="0"/>
              <w:right w:val="single" w:color="auto" w:sz="4" w:space="0"/>
            </w:tcBorders>
            <w:noWrap/>
            <w:vAlign w:val="center"/>
          </w:tcPr>
          <w:p w14:paraId="490BADFE">
            <w:pPr>
              <w:widowControl/>
              <w:jc w:val="center"/>
              <w:rPr>
                <w:rFonts w:ascii="宋体" w:cs="宋体"/>
                <w:color w:val="000000"/>
                <w:kern w:val="0"/>
                <w:sz w:val="24"/>
              </w:rPr>
            </w:pPr>
          </w:p>
        </w:tc>
        <w:tc>
          <w:tcPr>
            <w:tcW w:w="1248" w:type="dxa"/>
            <w:tcBorders>
              <w:top w:val="nil"/>
              <w:left w:val="nil"/>
              <w:bottom w:val="single" w:color="auto" w:sz="4" w:space="0"/>
              <w:right w:val="single" w:color="auto" w:sz="4" w:space="0"/>
            </w:tcBorders>
            <w:noWrap/>
            <w:vAlign w:val="center"/>
          </w:tcPr>
          <w:p w14:paraId="4F9E5CDC">
            <w:pPr>
              <w:widowControl/>
              <w:jc w:val="center"/>
              <w:rPr>
                <w:rFonts w:ascii="宋体" w:cs="宋体"/>
                <w:color w:val="000000"/>
                <w:kern w:val="0"/>
                <w:sz w:val="24"/>
              </w:rPr>
            </w:pPr>
          </w:p>
        </w:tc>
      </w:tr>
    </w:tbl>
    <w:p w14:paraId="547C9DBE">
      <w:pPr>
        <w:rPr>
          <w:rFonts w:ascii="宋体"/>
          <w:sz w:val="20"/>
          <w:szCs w:val="20"/>
        </w:rPr>
        <w:sectPr>
          <w:pgSz w:w="16838" w:h="11906" w:orient="landscape"/>
          <w:pgMar w:top="1361" w:right="1247" w:bottom="1474" w:left="1474" w:header="743" w:footer="1021" w:gutter="0"/>
          <w:cols w:space="425" w:num="1"/>
          <w:docGrid w:linePitch="312" w:charSpace="0"/>
        </w:sectPr>
      </w:pPr>
    </w:p>
    <w:p w14:paraId="34D0467F">
      <w:pPr>
        <w:numPr>
          <w:ilvl w:val="0"/>
          <w:numId w:val="3"/>
        </w:numPr>
        <w:rPr>
          <w:sz w:val="20"/>
          <w:szCs w:val="20"/>
        </w:rPr>
      </w:pPr>
      <w:r>
        <w:rPr>
          <w:rFonts w:hint="eastAsia" w:ascii="宋体" w:hAnsi="宋体" w:cs="宋体"/>
          <w:b/>
          <w:bCs/>
          <w:kern w:val="0"/>
          <w:sz w:val="28"/>
          <w:szCs w:val="28"/>
        </w:rPr>
        <w:t>论证报告（一）</w:t>
      </w:r>
      <w:r>
        <w:rPr>
          <w:sz w:val="28"/>
          <w:szCs w:val="28"/>
        </w:rPr>
        <w:t xml:space="preserve">                         </w:t>
      </w:r>
      <w:r>
        <w:rPr>
          <w:sz w:val="20"/>
          <w:szCs w:val="20"/>
        </w:rPr>
        <w:t xml:space="preserve">                                      </w:t>
      </w:r>
    </w:p>
    <w:tbl>
      <w:tblPr>
        <w:tblStyle w:val="13"/>
        <w:tblW w:w="91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9"/>
        <w:gridCol w:w="2881"/>
        <w:gridCol w:w="1852"/>
        <w:gridCol w:w="7"/>
        <w:gridCol w:w="2490"/>
      </w:tblGrid>
      <w:tr w14:paraId="06369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6" w:hRule="atLeast"/>
          <w:jc w:val="center"/>
        </w:trPr>
        <w:tc>
          <w:tcPr>
            <w:tcW w:w="1929" w:type="dxa"/>
            <w:vAlign w:val="center"/>
          </w:tcPr>
          <w:p w14:paraId="3CDD0ACC">
            <w:pPr>
              <w:jc w:val="center"/>
              <w:rPr>
                <w:szCs w:val="21"/>
              </w:rPr>
            </w:pPr>
            <w:r>
              <w:rPr>
                <w:rFonts w:hint="eastAsia"/>
                <w:szCs w:val="21"/>
              </w:rPr>
              <w:t>设备</w:t>
            </w:r>
            <w:r>
              <w:rPr>
                <w:szCs w:val="21"/>
              </w:rPr>
              <w:t>/</w:t>
            </w:r>
            <w:r>
              <w:rPr>
                <w:rFonts w:hint="eastAsia"/>
                <w:szCs w:val="21"/>
              </w:rPr>
              <w:t>软件</w:t>
            </w:r>
            <w:r>
              <w:rPr>
                <w:szCs w:val="21"/>
              </w:rPr>
              <w:t>/</w:t>
            </w:r>
            <w:r>
              <w:rPr>
                <w:rFonts w:hint="eastAsia"/>
                <w:szCs w:val="21"/>
              </w:rPr>
              <w:t>家具等名</w:t>
            </w:r>
            <w:r>
              <w:rPr>
                <w:szCs w:val="21"/>
              </w:rPr>
              <w:t xml:space="preserve"> </w:t>
            </w:r>
            <w:r>
              <w:rPr>
                <w:rFonts w:hint="eastAsia"/>
                <w:szCs w:val="21"/>
              </w:rPr>
              <w:t>称</w:t>
            </w:r>
          </w:p>
        </w:tc>
        <w:tc>
          <w:tcPr>
            <w:tcW w:w="2881" w:type="dxa"/>
            <w:vAlign w:val="center"/>
          </w:tcPr>
          <w:p w14:paraId="65987EB8">
            <w:pPr>
              <w:jc w:val="center"/>
              <w:rPr>
                <w:rFonts w:hint="eastAsia" w:ascii="宋体" w:eastAsia="宋体"/>
                <w:sz w:val="24"/>
                <w:lang w:eastAsia="zh-CN"/>
              </w:rPr>
            </w:pPr>
            <w:r>
              <w:rPr>
                <w:rFonts w:hint="eastAsia" w:ascii="宋体"/>
                <w:sz w:val="21"/>
                <w:szCs w:val="21"/>
              </w:rPr>
              <w:t>智慧物流实验室（智慧物流决策仿真系统）</w:t>
            </w:r>
          </w:p>
        </w:tc>
        <w:tc>
          <w:tcPr>
            <w:tcW w:w="1852" w:type="dxa"/>
            <w:vAlign w:val="center"/>
          </w:tcPr>
          <w:p w14:paraId="4EF36FC2">
            <w:pPr>
              <w:jc w:val="center"/>
              <w:rPr>
                <w:szCs w:val="21"/>
              </w:rPr>
            </w:pPr>
            <w:r>
              <w:rPr>
                <w:rFonts w:hint="eastAsia"/>
                <w:szCs w:val="21"/>
              </w:rPr>
              <w:t>预算金额</w:t>
            </w:r>
          </w:p>
        </w:tc>
        <w:tc>
          <w:tcPr>
            <w:tcW w:w="2497" w:type="dxa"/>
            <w:gridSpan w:val="2"/>
            <w:vAlign w:val="center"/>
          </w:tcPr>
          <w:p w14:paraId="288CF6AF">
            <w:pPr>
              <w:tabs>
                <w:tab w:val="left" w:pos="438"/>
              </w:tabs>
              <w:jc w:val="center"/>
              <w:rPr>
                <w:rFonts w:hint="default" w:eastAsia="宋体"/>
                <w:szCs w:val="21"/>
                <w:lang w:val="en-US" w:eastAsia="zh-CN"/>
              </w:rPr>
            </w:pPr>
            <w:r>
              <w:rPr>
                <w:rFonts w:hint="eastAsia"/>
                <w:szCs w:val="21"/>
                <w:lang w:val="en-US" w:eastAsia="zh-CN"/>
              </w:rPr>
              <w:t>XX万元</w:t>
            </w:r>
          </w:p>
        </w:tc>
      </w:tr>
      <w:tr w14:paraId="06E07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jc w:val="center"/>
        </w:trPr>
        <w:tc>
          <w:tcPr>
            <w:tcW w:w="1929" w:type="dxa"/>
            <w:vAlign w:val="center"/>
          </w:tcPr>
          <w:p w14:paraId="7F4B32A2">
            <w:pPr>
              <w:jc w:val="center"/>
              <w:rPr>
                <w:szCs w:val="21"/>
              </w:rPr>
            </w:pPr>
            <w:r>
              <w:rPr>
                <w:rFonts w:hint="eastAsia"/>
                <w:szCs w:val="21"/>
              </w:rPr>
              <w:t>施工或交货期限</w:t>
            </w:r>
          </w:p>
        </w:tc>
        <w:tc>
          <w:tcPr>
            <w:tcW w:w="2881" w:type="dxa"/>
            <w:vAlign w:val="center"/>
          </w:tcPr>
          <w:p w14:paraId="755D8C2F">
            <w:pPr>
              <w:jc w:val="center"/>
              <w:rPr>
                <w:szCs w:val="21"/>
              </w:rPr>
            </w:pPr>
            <w:r>
              <w:rPr>
                <w:rFonts w:hint="eastAsia"/>
                <w:szCs w:val="21"/>
              </w:rPr>
              <w:t>签订合同后</w:t>
            </w:r>
            <w:r>
              <w:rPr>
                <w:szCs w:val="21"/>
              </w:rPr>
              <w:t>30</w:t>
            </w:r>
            <w:r>
              <w:rPr>
                <w:rFonts w:hint="eastAsia"/>
                <w:szCs w:val="21"/>
              </w:rPr>
              <w:t>天</w:t>
            </w:r>
          </w:p>
        </w:tc>
        <w:tc>
          <w:tcPr>
            <w:tcW w:w="1859" w:type="dxa"/>
            <w:gridSpan w:val="2"/>
            <w:vAlign w:val="center"/>
          </w:tcPr>
          <w:p w14:paraId="0D5A4CFC">
            <w:pPr>
              <w:jc w:val="center"/>
              <w:rPr>
                <w:szCs w:val="21"/>
              </w:rPr>
            </w:pPr>
            <w:r>
              <w:rPr>
                <w:rFonts w:hint="eastAsia"/>
                <w:szCs w:val="21"/>
              </w:rPr>
              <w:t>保修期及要求</w:t>
            </w:r>
          </w:p>
        </w:tc>
        <w:tc>
          <w:tcPr>
            <w:tcW w:w="2490" w:type="dxa"/>
            <w:vAlign w:val="center"/>
          </w:tcPr>
          <w:p w14:paraId="7D7DA8CA">
            <w:pPr>
              <w:jc w:val="center"/>
              <w:rPr>
                <w:szCs w:val="21"/>
              </w:rPr>
            </w:pPr>
            <w:r>
              <w:rPr>
                <w:rFonts w:hint="eastAsia" w:ascii="宋体" w:hAnsi="宋体" w:cs="宋体"/>
                <w:color w:val="FF0000"/>
                <w:kern w:val="0"/>
                <w:szCs w:val="21"/>
              </w:rPr>
              <w:t>质保期三年</w:t>
            </w:r>
          </w:p>
        </w:tc>
      </w:tr>
      <w:tr w14:paraId="65BE3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5" w:hRule="atLeast"/>
          <w:jc w:val="center"/>
        </w:trPr>
        <w:tc>
          <w:tcPr>
            <w:tcW w:w="1929" w:type="dxa"/>
            <w:vAlign w:val="center"/>
          </w:tcPr>
          <w:p w14:paraId="40A726C4">
            <w:pPr>
              <w:jc w:val="center"/>
              <w:rPr>
                <w:szCs w:val="21"/>
              </w:rPr>
            </w:pPr>
            <w:r>
              <w:rPr>
                <w:rFonts w:hint="eastAsia"/>
                <w:szCs w:val="21"/>
              </w:rPr>
              <w:t>主要功能</w:t>
            </w:r>
          </w:p>
        </w:tc>
        <w:tc>
          <w:tcPr>
            <w:tcW w:w="7230" w:type="dxa"/>
            <w:gridSpan w:val="4"/>
            <w:vAlign w:val="center"/>
          </w:tcPr>
          <w:p w14:paraId="27EA389D">
            <w:pPr>
              <w:spacing w:line="360" w:lineRule="exact"/>
              <w:jc w:val="left"/>
              <w:rPr>
                <w:rFonts w:hint="eastAsia" w:ascii="宋体" w:cs="宋体"/>
                <w:color w:val="000000"/>
                <w:kern w:val="0"/>
                <w:sz w:val="21"/>
                <w:szCs w:val="21"/>
              </w:rPr>
            </w:pPr>
            <w:r>
              <w:rPr>
                <w:rFonts w:hint="eastAsia" w:ascii="宋体" w:cs="宋体"/>
                <w:color w:val="000000"/>
                <w:kern w:val="0"/>
                <w:sz w:val="21"/>
                <w:szCs w:val="21"/>
              </w:rPr>
              <w:t>1、有多家电子商务物流商，有运输、仓储等职能。</w:t>
            </w:r>
          </w:p>
          <w:p w14:paraId="6803D686">
            <w:pPr>
              <w:spacing w:line="360" w:lineRule="exact"/>
              <w:jc w:val="left"/>
              <w:rPr>
                <w:rFonts w:hint="eastAsia" w:ascii="宋体" w:cs="宋体"/>
                <w:color w:val="000000"/>
                <w:kern w:val="0"/>
                <w:sz w:val="21"/>
                <w:szCs w:val="21"/>
              </w:rPr>
            </w:pPr>
            <w:r>
              <w:rPr>
                <w:rFonts w:hint="eastAsia" w:ascii="宋体" w:cs="宋体"/>
                <w:color w:val="000000"/>
                <w:kern w:val="0"/>
                <w:sz w:val="21"/>
                <w:szCs w:val="21"/>
              </w:rPr>
              <w:t>2、★整个系统能够模拟物流成本核算过程，包括市场调研费、运输保险、铁路运费、海运费、航空运费、卡车运费、货损意外赔付、业务费、财务费用、卡车租赁费、仓库运营费、仓库租赁费等。</w:t>
            </w:r>
          </w:p>
          <w:p w14:paraId="3FF73146">
            <w:pPr>
              <w:spacing w:line="360" w:lineRule="exact"/>
              <w:jc w:val="left"/>
              <w:rPr>
                <w:rFonts w:hint="eastAsia" w:ascii="宋体" w:cs="宋体"/>
                <w:color w:val="000000"/>
                <w:kern w:val="0"/>
                <w:sz w:val="21"/>
                <w:szCs w:val="21"/>
              </w:rPr>
            </w:pPr>
            <w:r>
              <w:rPr>
                <w:rFonts w:hint="eastAsia" w:ascii="宋体" w:cs="宋体"/>
                <w:color w:val="000000"/>
                <w:kern w:val="0"/>
                <w:sz w:val="21"/>
                <w:szCs w:val="21"/>
              </w:rPr>
              <w:t>3、★其中运输涉及海运、航空、公路运输、铁路运输等不同形式，仓储涉及大型仓、中型仓、小型仓，物流业务涉及普货物流和特种货物（轻泡）物流、国内物流和国际物流业务。</w:t>
            </w:r>
          </w:p>
          <w:p w14:paraId="06058CDD">
            <w:pPr>
              <w:spacing w:line="360" w:lineRule="exact"/>
              <w:jc w:val="left"/>
              <w:rPr>
                <w:rFonts w:hint="eastAsia" w:ascii="宋体" w:cs="宋体"/>
                <w:color w:val="000000"/>
                <w:kern w:val="0"/>
                <w:sz w:val="21"/>
                <w:szCs w:val="21"/>
              </w:rPr>
            </w:pPr>
            <w:r>
              <w:rPr>
                <w:rFonts w:hint="eastAsia" w:ascii="宋体" w:cs="宋体"/>
                <w:color w:val="000000"/>
                <w:kern w:val="0"/>
                <w:sz w:val="21"/>
                <w:szCs w:val="21"/>
              </w:rPr>
              <w:t>4、★能够体现物流管理中的风险成本，能够模拟如客户无法支付物流款、国内运输货物毁损、国际航空货物毁损、需求增加需空运等风险。</w:t>
            </w:r>
          </w:p>
          <w:p w14:paraId="104B460E">
            <w:pPr>
              <w:spacing w:line="360" w:lineRule="exact"/>
              <w:jc w:val="left"/>
              <w:rPr>
                <w:rFonts w:hint="eastAsia" w:ascii="宋体" w:cs="宋体"/>
                <w:color w:val="000000"/>
                <w:kern w:val="0"/>
                <w:sz w:val="21"/>
                <w:szCs w:val="21"/>
              </w:rPr>
            </w:pPr>
            <w:r>
              <w:rPr>
                <w:rFonts w:hint="eastAsia" w:ascii="宋体" w:cs="宋体"/>
                <w:color w:val="000000"/>
                <w:kern w:val="0"/>
                <w:sz w:val="21"/>
                <w:szCs w:val="21"/>
              </w:rPr>
              <w:t>5、★有教学模式与比赛模式2种，在比赛模式中，特别能体现“双11”订单爆棚、卡车租金翻倍、囤货竞争等特有风险。</w:t>
            </w:r>
          </w:p>
          <w:p w14:paraId="75FCB704">
            <w:pPr>
              <w:spacing w:line="360" w:lineRule="exact"/>
              <w:jc w:val="left"/>
              <w:rPr>
                <w:rFonts w:ascii="宋体" w:cs="宋体"/>
                <w:color w:val="000000"/>
                <w:kern w:val="0"/>
                <w:sz w:val="24"/>
              </w:rPr>
            </w:pPr>
            <w:r>
              <w:rPr>
                <w:rFonts w:hint="eastAsia" w:ascii="宋体" w:cs="宋体"/>
                <w:color w:val="000000"/>
                <w:kern w:val="0"/>
                <w:sz w:val="21"/>
                <w:szCs w:val="21"/>
                <w:lang w:val="en-US" w:eastAsia="zh-CN"/>
              </w:rPr>
              <w:t>6</w:t>
            </w:r>
            <w:r>
              <w:rPr>
                <w:rFonts w:hint="eastAsia" w:ascii="宋体" w:cs="宋体"/>
                <w:color w:val="000000"/>
                <w:kern w:val="0"/>
                <w:sz w:val="21"/>
                <w:szCs w:val="21"/>
              </w:rPr>
              <w:t>、具有满足实验要求的教学课件、学员手册、教学大纲、教学案例等教学资料。软件为全国大赛软件。</w:t>
            </w:r>
          </w:p>
        </w:tc>
      </w:tr>
      <w:tr w14:paraId="3F13A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8" w:hRule="atLeast"/>
          <w:jc w:val="center"/>
        </w:trPr>
        <w:tc>
          <w:tcPr>
            <w:tcW w:w="1929" w:type="dxa"/>
            <w:vAlign w:val="center"/>
          </w:tcPr>
          <w:p w14:paraId="6A738199">
            <w:pPr>
              <w:jc w:val="center"/>
              <w:rPr>
                <w:szCs w:val="21"/>
              </w:rPr>
            </w:pPr>
            <w:r>
              <w:rPr>
                <w:rFonts w:hint="eastAsia"/>
                <w:szCs w:val="21"/>
              </w:rPr>
              <w:t>招标用技术参数</w:t>
            </w:r>
          </w:p>
        </w:tc>
        <w:tc>
          <w:tcPr>
            <w:tcW w:w="7230" w:type="dxa"/>
            <w:gridSpan w:val="4"/>
            <w:vAlign w:val="center"/>
          </w:tcPr>
          <w:p w14:paraId="73FB8557">
            <w:pPr>
              <w:spacing w:line="360" w:lineRule="auto"/>
              <w:rPr>
                <w:rFonts w:hint="eastAsia" w:ascii="宋体" w:cs="宋体"/>
                <w:color w:val="auto"/>
                <w:kern w:val="0"/>
                <w:szCs w:val="21"/>
              </w:rPr>
            </w:pPr>
            <w:r>
              <w:rPr>
                <w:rFonts w:hint="eastAsia" w:ascii="宋体" w:cs="宋体"/>
                <w:color w:val="auto"/>
                <w:kern w:val="0"/>
                <w:szCs w:val="21"/>
              </w:rPr>
              <w:t>一、系统架构（加★号项需</w:t>
            </w:r>
            <w:r>
              <w:rPr>
                <w:rFonts w:hint="eastAsia" w:ascii="宋体" w:cs="宋体"/>
                <w:color w:val="auto"/>
                <w:kern w:val="0"/>
                <w:szCs w:val="21"/>
                <w:lang w:eastAsia="zh-CN"/>
              </w:rPr>
              <w:t>现场或远程演示</w:t>
            </w:r>
            <w:r>
              <w:rPr>
                <w:rFonts w:hint="eastAsia" w:ascii="宋体" w:cs="宋体"/>
                <w:color w:val="auto"/>
                <w:kern w:val="0"/>
                <w:szCs w:val="21"/>
              </w:rPr>
              <w:t>，否则不作为中标候选人）</w:t>
            </w:r>
          </w:p>
          <w:p w14:paraId="6EF6E567">
            <w:pPr>
              <w:spacing w:line="360" w:lineRule="auto"/>
              <w:rPr>
                <w:rFonts w:hint="eastAsia" w:ascii="宋体" w:cs="宋体"/>
                <w:color w:val="auto"/>
                <w:kern w:val="0"/>
                <w:szCs w:val="21"/>
              </w:rPr>
            </w:pPr>
            <w:r>
              <w:rPr>
                <w:rFonts w:hint="eastAsia" w:ascii="宋体" w:cs="宋体"/>
                <w:color w:val="auto"/>
                <w:kern w:val="0"/>
                <w:szCs w:val="21"/>
              </w:rPr>
              <w:t>1、有多家电子商务物流商，有运输、仓储等职能。</w:t>
            </w:r>
          </w:p>
          <w:p w14:paraId="63B93BC2">
            <w:pPr>
              <w:spacing w:line="360" w:lineRule="auto"/>
              <w:rPr>
                <w:rFonts w:hint="eastAsia" w:ascii="宋体" w:cs="宋体"/>
                <w:color w:val="auto"/>
                <w:kern w:val="0"/>
                <w:szCs w:val="21"/>
              </w:rPr>
            </w:pPr>
            <w:r>
              <w:rPr>
                <w:rFonts w:hint="eastAsia" w:ascii="宋体" w:cs="宋体"/>
                <w:color w:val="auto"/>
                <w:kern w:val="0"/>
                <w:szCs w:val="21"/>
              </w:rPr>
              <w:t>2、★整个系统能够模拟物流成本核算过程，包括市场调研费、运输保险、铁路运费、海运费、航空运费、卡车运费、货损意外赔付、业务费、财务费用、卡车租赁费、仓库运营费、仓库租赁费等。</w:t>
            </w:r>
          </w:p>
          <w:p w14:paraId="14D5B50A">
            <w:pPr>
              <w:spacing w:line="360" w:lineRule="auto"/>
              <w:rPr>
                <w:rFonts w:hint="eastAsia" w:ascii="宋体" w:cs="宋体"/>
                <w:color w:val="auto"/>
                <w:kern w:val="0"/>
                <w:szCs w:val="21"/>
              </w:rPr>
            </w:pPr>
            <w:r>
              <w:rPr>
                <w:rFonts w:hint="eastAsia" w:ascii="宋体" w:cs="宋体"/>
                <w:color w:val="auto"/>
                <w:kern w:val="0"/>
                <w:szCs w:val="21"/>
              </w:rPr>
              <w:t>3、★其中运输涉及海运、航空、公路运输、铁路运输等不同形式，仓储涉及大型仓、中型仓、小型仓，物流业务涉及普货物流和特种货物（轻泡）物流、国内物流和国际物流业务。</w:t>
            </w:r>
          </w:p>
          <w:p w14:paraId="206E0A4B">
            <w:pPr>
              <w:spacing w:line="360" w:lineRule="auto"/>
              <w:rPr>
                <w:rFonts w:hint="eastAsia" w:ascii="宋体" w:cs="宋体"/>
                <w:color w:val="auto"/>
                <w:kern w:val="0"/>
                <w:szCs w:val="21"/>
              </w:rPr>
            </w:pPr>
            <w:r>
              <w:rPr>
                <w:rFonts w:hint="eastAsia" w:ascii="宋体" w:cs="宋体"/>
                <w:color w:val="auto"/>
                <w:kern w:val="0"/>
                <w:szCs w:val="21"/>
              </w:rPr>
              <w:t>4、★能够体现物流管理中的风险成本，能够模拟如客户无法支付物流款、国内运输货物毁损、国际航空货物毁损、需求增加需空运等风险。</w:t>
            </w:r>
          </w:p>
          <w:p w14:paraId="4325617F">
            <w:pPr>
              <w:spacing w:line="360" w:lineRule="auto"/>
              <w:rPr>
                <w:rFonts w:hint="eastAsia" w:ascii="宋体" w:cs="宋体"/>
                <w:color w:val="auto"/>
                <w:kern w:val="0"/>
                <w:szCs w:val="21"/>
              </w:rPr>
            </w:pPr>
            <w:r>
              <w:rPr>
                <w:rFonts w:hint="eastAsia" w:ascii="宋体" w:cs="宋体"/>
                <w:color w:val="auto"/>
                <w:kern w:val="0"/>
                <w:szCs w:val="21"/>
              </w:rPr>
              <w:t>5、★有教学模式与比赛模式2种，在比赛模式中，特别能体现“双11”订单爆棚、卡车租金翻倍、囤货竞争等特有风险。</w:t>
            </w:r>
          </w:p>
          <w:p w14:paraId="0843912E">
            <w:pPr>
              <w:spacing w:line="360" w:lineRule="auto"/>
              <w:rPr>
                <w:rFonts w:hint="eastAsia" w:ascii="宋体" w:cs="宋体"/>
                <w:color w:val="auto"/>
                <w:kern w:val="0"/>
                <w:szCs w:val="21"/>
              </w:rPr>
            </w:pPr>
            <w:r>
              <w:rPr>
                <w:rFonts w:hint="eastAsia" w:ascii="宋体" w:cs="宋体"/>
                <w:color w:val="auto"/>
                <w:kern w:val="0"/>
                <w:szCs w:val="21"/>
              </w:rPr>
              <w:t>6、★具有完全自主著作权，须提供加盖制造商鲜章的著作权复印件，且现场在“中国版权服务”微信公众号查验著作权真伪。否则应提供在“中国版权服务”微信公众号著作权核查结果截图并加盖制造商鲜章。如提供虚假著作权，将按虚假应标处罚。如知识产权属于个人所有，需同时提供知识产权所有人身份证复印件。如非制造厂商投标，需提供制造厂商授权函和售后服务承诺函原件。</w:t>
            </w:r>
          </w:p>
          <w:p w14:paraId="60EB636C">
            <w:pPr>
              <w:spacing w:line="360" w:lineRule="auto"/>
              <w:rPr>
                <w:rFonts w:hint="eastAsia" w:ascii="宋体" w:cs="宋体"/>
                <w:color w:val="auto"/>
                <w:kern w:val="0"/>
                <w:szCs w:val="21"/>
              </w:rPr>
            </w:pPr>
            <w:r>
              <w:rPr>
                <w:rFonts w:hint="eastAsia" w:ascii="宋体" w:cs="宋体"/>
                <w:color w:val="auto"/>
                <w:kern w:val="0"/>
                <w:szCs w:val="21"/>
              </w:rPr>
              <w:t>7、具有满足实验要求的教学课件、学员手册、教学大纲、教学案例等教学资料。</w:t>
            </w:r>
          </w:p>
          <w:p w14:paraId="2B8EE8D5">
            <w:pPr>
              <w:spacing w:line="360" w:lineRule="auto"/>
              <w:rPr>
                <w:rFonts w:hint="eastAsia" w:ascii="宋体" w:cs="宋体"/>
                <w:color w:val="auto"/>
                <w:kern w:val="0"/>
                <w:szCs w:val="21"/>
              </w:rPr>
            </w:pPr>
            <w:r>
              <w:rPr>
                <w:rFonts w:hint="eastAsia" w:ascii="宋体" w:cs="宋体"/>
                <w:color w:val="auto"/>
                <w:kern w:val="0"/>
                <w:szCs w:val="21"/>
              </w:rPr>
              <w:t>8、软件为全国大赛软件，提供大赛通知的复印件。</w:t>
            </w:r>
          </w:p>
          <w:p w14:paraId="1B82E04A">
            <w:pPr>
              <w:spacing w:line="360" w:lineRule="auto"/>
              <w:rPr>
                <w:rFonts w:hint="eastAsia" w:ascii="宋体" w:cs="宋体"/>
                <w:color w:val="auto"/>
                <w:kern w:val="0"/>
                <w:szCs w:val="21"/>
              </w:rPr>
            </w:pPr>
            <w:r>
              <w:rPr>
                <w:rFonts w:hint="eastAsia" w:ascii="宋体" w:cs="宋体"/>
                <w:color w:val="auto"/>
                <w:kern w:val="0"/>
                <w:szCs w:val="21"/>
              </w:rPr>
              <w:t>9、排名第一的供应商在合同签订前还需</w:t>
            </w:r>
            <w:r>
              <w:rPr>
                <w:rFonts w:hint="eastAsia" w:ascii="宋体" w:cs="宋体"/>
                <w:color w:val="auto"/>
                <w:kern w:val="0"/>
                <w:szCs w:val="21"/>
                <w:lang w:eastAsia="zh-CN"/>
              </w:rPr>
              <w:t>现场或远程演示</w:t>
            </w:r>
            <w:r>
              <w:rPr>
                <w:rFonts w:hint="eastAsia" w:ascii="宋体" w:cs="宋体"/>
                <w:color w:val="auto"/>
                <w:kern w:val="0"/>
                <w:szCs w:val="21"/>
              </w:rPr>
              <w:t>并获得最终使用此软件的老师签字认可，否则依次顺位下一排名的供应商作为中标方。</w:t>
            </w:r>
          </w:p>
          <w:p w14:paraId="272DA49E">
            <w:pPr>
              <w:spacing w:line="360" w:lineRule="auto"/>
              <w:rPr>
                <w:rFonts w:hint="eastAsia" w:ascii="宋体" w:cs="宋体"/>
                <w:color w:val="auto"/>
                <w:kern w:val="0"/>
                <w:szCs w:val="21"/>
              </w:rPr>
            </w:pPr>
            <w:r>
              <w:rPr>
                <w:rFonts w:hint="eastAsia" w:ascii="宋体" w:cs="宋体"/>
                <w:color w:val="auto"/>
                <w:kern w:val="0"/>
                <w:szCs w:val="21"/>
              </w:rPr>
              <w:t>二、虚拟仿真模块参数</w:t>
            </w:r>
          </w:p>
          <w:p w14:paraId="2B5163C4">
            <w:pPr>
              <w:spacing w:line="360" w:lineRule="auto"/>
              <w:rPr>
                <w:rFonts w:hint="eastAsia" w:ascii="宋体" w:cs="宋体"/>
                <w:color w:val="auto"/>
                <w:kern w:val="0"/>
                <w:szCs w:val="21"/>
              </w:rPr>
            </w:pPr>
            <w:r>
              <w:rPr>
                <w:rFonts w:hint="eastAsia" w:ascii="宋体" w:cs="宋体"/>
                <w:color w:val="auto"/>
                <w:kern w:val="0"/>
                <w:szCs w:val="21"/>
              </w:rPr>
              <w:t>1、教师端功能</w:t>
            </w:r>
          </w:p>
          <w:p w14:paraId="60C90335">
            <w:pPr>
              <w:spacing w:line="360" w:lineRule="auto"/>
              <w:rPr>
                <w:rFonts w:hint="eastAsia" w:ascii="宋体" w:cs="宋体"/>
                <w:color w:val="auto"/>
                <w:kern w:val="0"/>
                <w:szCs w:val="21"/>
              </w:rPr>
            </w:pPr>
            <w:r>
              <w:rPr>
                <w:rFonts w:hint="eastAsia" w:ascii="宋体" w:cs="宋体"/>
                <w:color w:val="auto"/>
                <w:kern w:val="0"/>
                <w:szCs w:val="21"/>
              </w:rPr>
              <w:t>【评分管理】系统将自动统计各组所有者权益，生成经营业绩得分，在老师输入抢答次数与实训报告评分后，系统自动统计小组/个人成绩，评分维度比例可以由老师随意修改，简便快捷。</w:t>
            </w:r>
          </w:p>
          <w:p w14:paraId="11E35A5D">
            <w:pPr>
              <w:spacing w:line="360" w:lineRule="auto"/>
              <w:rPr>
                <w:rFonts w:hint="eastAsia" w:ascii="宋体" w:cs="宋体"/>
                <w:color w:val="auto"/>
                <w:kern w:val="0"/>
                <w:szCs w:val="21"/>
              </w:rPr>
            </w:pPr>
            <w:r>
              <w:rPr>
                <w:rFonts w:hint="eastAsia" w:ascii="宋体" w:cs="宋体"/>
                <w:color w:val="auto"/>
                <w:kern w:val="0"/>
                <w:szCs w:val="21"/>
              </w:rPr>
              <w:t>★【市场环境】教师端可以颁布当年的市场环境，是否开启双十一、卡车租金翻倍，调整租赁卡车总量、小型仓库总量、全班银行贷款占上期所有者权益比例影响企业运营环境。学生端可以查看颁布的市场环境。</w:t>
            </w:r>
          </w:p>
          <w:p w14:paraId="226D24C1">
            <w:pPr>
              <w:spacing w:line="360" w:lineRule="auto"/>
              <w:rPr>
                <w:rFonts w:hint="eastAsia" w:ascii="宋体" w:cs="宋体"/>
                <w:color w:val="auto"/>
                <w:kern w:val="0"/>
                <w:szCs w:val="21"/>
              </w:rPr>
            </w:pPr>
            <w:r>
              <w:rPr>
                <w:rFonts w:hint="eastAsia" w:ascii="宋体" w:cs="宋体"/>
                <w:color w:val="auto"/>
                <w:kern w:val="0"/>
                <w:szCs w:val="21"/>
              </w:rPr>
              <w:t>【订单竞标管理】系统通过内部分析虚拟市场的经济活动，自动生成普货总量和轻泡货的市场需求的总量，在竞标环节中，通过各公司情况的比对，业务费、订单拖期、轻泡货与普货报价等，系统将自动生成各公司获得的普货与轻泡货总量。</w:t>
            </w:r>
          </w:p>
          <w:p w14:paraId="3FFE05DF">
            <w:pPr>
              <w:spacing w:line="360" w:lineRule="auto"/>
              <w:rPr>
                <w:rFonts w:hint="eastAsia" w:ascii="宋体" w:cs="宋体"/>
                <w:color w:val="auto"/>
                <w:kern w:val="0"/>
                <w:szCs w:val="21"/>
              </w:rPr>
            </w:pPr>
            <w:r>
              <w:rPr>
                <w:rFonts w:hint="eastAsia" w:ascii="宋体" w:cs="宋体"/>
                <w:color w:val="auto"/>
                <w:kern w:val="0"/>
                <w:szCs w:val="21"/>
              </w:rPr>
              <w:t>【融资与采购业务】教师端可以开启本周的融资竞标、组间贷款、货物采购、货物组间交易，并可查看融资竞标信息、组间贷款信息以及货物采购的信息。</w:t>
            </w:r>
          </w:p>
          <w:p w14:paraId="54E019FB">
            <w:pPr>
              <w:spacing w:line="360" w:lineRule="auto"/>
              <w:rPr>
                <w:rFonts w:hint="eastAsia" w:ascii="宋体" w:cs="宋体"/>
                <w:color w:val="auto"/>
                <w:kern w:val="0"/>
                <w:szCs w:val="21"/>
              </w:rPr>
            </w:pPr>
            <w:r>
              <w:rPr>
                <w:rFonts w:hint="eastAsia" w:ascii="宋体" w:cs="宋体"/>
                <w:color w:val="auto"/>
                <w:kern w:val="0"/>
                <w:szCs w:val="21"/>
              </w:rPr>
              <w:t>【卡车与仓库业务】教师端可以在此处开启本周卡车出售模拟、卡车买卖租退、顺风车交易、仓库租建售、运输交货，并可查看卡车买卖租退信息、顺风车交易信息、仓库租建售信息以及运输交货信息。</w:t>
            </w:r>
          </w:p>
          <w:p w14:paraId="2ADF77CB">
            <w:pPr>
              <w:spacing w:line="360" w:lineRule="auto"/>
              <w:rPr>
                <w:rFonts w:hint="eastAsia" w:ascii="宋体" w:cs="宋体"/>
                <w:color w:val="auto"/>
                <w:kern w:val="0"/>
                <w:szCs w:val="21"/>
              </w:rPr>
            </w:pPr>
            <w:r>
              <w:rPr>
                <w:rFonts w:hint="eastAsia" w:ascii="宋体" w:cs="宋体"/>
                <w:color w:val="auto"/>
                <w:kern w:val="0"/>
                <w:szCs w:val="21"/>
              </w:rPr>
              <w:t>【风险模拟管理】在运作过程中，教师规定时期内通过项目模拟风险发生器设定相应的风险及其结果和规避办法，调整经营活动，如客户无法支付部分物流款、国内/国际运输毁损和需求增加需空运等。</w:t>
            </w:r>
          </w:p>
          <w:p w14:paraId="470499BA">
            <w:pPr>
              <w:spacing w:line="360" w:lineRule="auto"/>
              <w:rPr>
                <w:rFonts w:hint="eastAsia" w:ascii="宋体" w:cs="宋体"/>
                <w:color w:val="auto"/>
                <w:kern w:val="0"/>
                <w:szCs w:val="21"/>
              </w:rPr>
            </w:pPr>
            <w:r>
              <w:rPr>
                <w:rFonts w:hint="eastAsia" w:ascii="宋体" w:cs="宋体"/>
                <w:color w:val="auto"/>
                <w:kern w:val="0"/>
                <w:szCs w:val="21"/>
              </w:rPr>
              <w:t>2、学生端功能</w:t>
            </w:r>
          </w:p>
          <w:p w14:paraId="1CAAF134">
            <w:pPr>
              <w:spacing w:line="360" w:lineRule="auto"/>
              <w:rPr>
                <w:rFonts w:hint="eastAsia" w:ascii="宋体" w:cs="宋体"/>
                <w:color w:val="auto"/>
                <w:kern w:val="0"/>
                <w:szCs w:val="21"/>
              </w:rPr>
            </w:pPr>
            <w:r>
              <w:rPr>
                <w:rFonts w:hint="eastAsia" w:ascii="宋体" w:cs="宋体"/>
                <w:color w:val="auto"/>
                <w:kern w:val="0"/>
                <w:szCs w:val="21"/>
              </w:rPr>
              <w:t>学生端功能包括公司设立、现金管理模块、业务竞标模块、仓储采购模块、运输交货模块、风险管理模块、绩效核算模块、信息流模块八大功能。</w:t>
            </w:r>
          </w:p>
          <w:p w14:paraId="01A17A2C">
            <w:pPr>
              <w:spacing w:line="360" w:lineRule="auto"/>
              <w:rPr>
                <w:rFonts w:hint="eastAsia" w:ascii="宋体" w:cs="宋体"/>
                <w:color w:val="auto"/>
                <w:kern w:val="0"/>
                <w:szCs w:val="21"/>
              </w:rPr>
            </w:pPr>
            <w:r>
              <w:rPr>
                <w:rFonts w:hint="eastAsia" w:ascii="宋体" w:cs="宋体"/>
                <w:color w:val="auto"/>
                <w:kern w:val="0"/>
                <w:szCs w:val="21"/>
              </w:rPr>
              <w:t>【市场环境查看】各小组可以查看当年已发布市场环境，是否开启双十一、卡车租金翻倍，调整租赁卡车总量、小型仓库总量、全班银行贷款占上期所有者权益比例影响企业运营环境。</w:t>
            </w:r>
          </w:p>
          <w:p w14:paraId="00986501">
            <w:pPr>
              <w:spacing w:line="360" w:lineRule="auto"/>
              <w:rPr>
                <w:rFonts w:hint="eastAsia" w:ascii="宋体" w:cs="宋体"/>
                <w:color w:val="auto"/>
                <w:kern w:val="0"/>
                <w:szCs w:val="21"/>
              </w:rPr>
            </w:pPr>
            <w:r>
              <w:rPr>
                <w:rFonts w:hint="eastAsia" w:ascii="宋体" w:cs="宋体"/>
                <w:color w:val="auto"/>
                <w:kern w:val="0"/>
                <w:szCs w:val="21"/>
              </w:rPr>
              <w:t>【业务竞标模块】在学生端界面按照流程进行模拟经营操作如：订单竞标、融资竞标。订单竞标受到普货和轻泡货的报价、业务费用、市场调研费订单拖期的影响；融资竞标体现在学生端输入各项资金和贷款资金数量，完成的订单和各项经济活动。（在此之前，学生可以进行资金规划预算。）</w:t>
            </w:r>
          </w:p>
          <w:p w14:paraId="3BE86FC1">
            <w:pPr>
              <w:spacing w:line="360" w:lineRule="auto"/>
              <w:rPr>
                <w:rFonts w:hint="eastAsia" w:ascii="宋体" w:cs="宋体"/>
                <w:color w:val="auto"/>
                <w:kern w:val="0"/>
                <w:szCs w:val="21"/>
              </w:rPr>
            </w:pPr>
            <w:r>
              <w:rPr>
                <w:rFonts w:hint="eastAsia" w:ascii="宋体" w:cs="宋体"/>
                <w:color w:val="auto"/>
                <w:kern w:val="0"/>
                <w:szCs w:val="21"/>
              </w:rPr>
              <w:t>【仓储采购模块】在学生端按照流程进行选择卡车的买退租赁竞标、仓库的买退租赁竞标并查看竞标结果，货物的采购，供应商的选择。由学生通过对公司未来发展方向的规划来进行决策。</w:t>
            </w:r>
          </w:p>
          <w:p w14:paraId="482AE187">
            <w:pPr>
              <w:spacing w:line="360" w:lineRule="auto"/>
              <w:rPr>
                <w:rFonts w:hint="eastAsia" w:ascii="宋体" w:cs="宋体"/>
                <w:color w:val="auto"/>
                <w:kern w:val="0"/>
                <w:szCs w:val="21"/>
              </w:rPr>
            </w:pPr>
            <w:r>
              <w:rPr>
                <w:rFonts w:hint="eastAsia" w:ascii="宋体" w:cs="宋体"/>
                <w:color w:val="auto"/>
                <w:kern w:val="0"/>
                <w:szCs w:val="21"/>
              </w:rPr>
              <w:t>【运输配送模块】在学生端决策选择物流方式，调整运输费用和保险费用，规划最佳路线和配货组合，还可以选择顺风车运输。</w:t>
            </w:r>
          </w:p>
          <w:p w14:paraId="6E083285">
            <w:pPr>
              <w:spacing w:line="360" w:lineRule="auto"/>
              <w:rPr>
                <w:rFonts w:hint="eastAsia" w:ascii="宋体" w:cs="宋体"/>
                <w:color w:val="auto"/>
                <w:kern w:val="0"/>
                <w:szCs w:val="21"/>
              </w:rPr>
            </w:pPr>
            <w:r>
              <w:rPr>
                <w:rFonts w:hint="eastAsia" w:ascii="宋体" w:cs="宋体"/>
                <w:color w:val="auto"/>
                <w:kern w:val="0"/>
                <w:szCs w:val="21"/>
              </w:rPr>
              <w:t>【绩效核算模块】系统将根据资产负债表和利润表自动生成销售利润率和营业利润率，同时将自动统计经营性现金支出和投资性现金支出，然后得出现金余额。还可以查看团队评分情况。</w:t>
            </w:r>
          </w:p>
          <w:p w14:paraId="4F9331BA">
            <w:pPr>
              <w:spacing w:line="360" w:lineRule="auto"/>
              <w:rPr>
                <w:rFonts w:hint="eastAsia" w:ascii="宋体" w:cs="宋体"/>
                <w:color w:val="auto"/>
                <w:kern w:val="0"/>
                <w:szCs w:val="21"/>
              </w:rPr>
            </w:pPr>
            <w:r>
              <w:rPr>
                <w:rFonts w:hint="eastAsia" w:ascii="宋体" w:cs="宋体"/>
                <w:color w:val="auto"/>
                <w:kern w:val="0"/>
                <w:szCs w:val="21"/>
              </w:rPr>
              <w:t>三、培训与服务（以下条款作为投标评分加分项，每项10分，最多不超过50分）。</w:t>
            </w:r>
          </w:p>
          <w:p w14:paraId="13179979">
            <w:pPr>
              <w:spacing w:line="360" w:lineRule="auto"/>
              <w:rPr>
                <w:rFonts w:hint="eastAsia" w:ascii="宋体" w:cs="宋体"/>
                <w:color w:val="auto"/>
                <w:kern w:val="0"/>
                <w:szCs w:val="21"/>
              </w:rPr>
            </w:pPr>
            <w:r>
              <w:rPr>
                <w:rFonts w:hint="eastAsia" w:ascii="宋体" w:cs="宋体"/>
                <w:color w:val="auto"/>
                <w:kern w:val="0"/>
                <w:szCs w:val="21"/>
              </w:rPr>
              <w:t>1、软件有国家发明专利或实用新型专利。提供加盖制造商鲜章的专利证书复印件，且现场</w:t>
            </w:r>
            <w:r>
              <w:rPr>
                <w:rFonts w:hint="eastAsia" w:ascii="宋体" w:cs="宋体"/>
                <w:color w:val="auto"/>
                <w:kern w:val="0"/>
                <w:szCs w:val="21"/>
                <w:lang w:val="en-US" w:eastAsia="zh-CN"/>
              </w:rPr>
              <w:t>或远程</w:t>
            </w:r>
            <w:r>
              <w:rPr>
                <w:rFonts w:hint="eastAsia" w:ascii="宋体" w:cs="宋体"/>
                <w:color w:val="auto"/>
                <w:kern w:val="0"/>
                <w:szCs w:val="21"/>
              </w:rPr>
              <w:t>在中国及多国专利审查信息查询网站核查知识产权真伪。如专利属于个人所有，需同时提供专利所有人的身份证复印件。如非制造厂商投标，需提供加盖制造厂家鲜章的授权函原件。</w:t>
            </w:r>
          </w:p>
          <w:p w14:paraId="27DF0CFF">
            <w:pPr>
              <w:spacing w:line="360" w:lineRule="auto"/>
              <w:rPr>
                <w:rFonts w:hint="eastAsia" w:ascii="宋体" w:cs="宋体"/>
                <w:color w:val="auto"/>
                <w:kern w:val="0"/>
                <w:szCs w:val="21"/>
              </w:rPr>
            </w:pPr>
            <w:r>
              <w:rPr>
                <w:rFonts w:hint="eastAsia" w:ascii="宋体" w:cs="宋体"/>
                <w:color w:val="auto"/>
                <w:kern w:val="0"/>
                <w:szCs w:val="21"/>
              </w:rPr>
              <w:t>2、原厂制造商股东具有高校背景，须提供加盖制造商鲜章的股东高校教师资格证和高级职称证明复印件。</w:t>
            </w:r>
          </w:p>
          <w:p w14:paraId="5FB80AC5">
            <w:pPr>
              <w:spacing w:line="360" w:lineRule="auto"/>
              <w:rPr>
                <w:rFonts w:hint="eastAsia" w:ascii="宋体" w:cs="宋体"/>
                <w:color w:val="auto"/>
                <w:kern w:val="0"/>
                <w:szCs w:val="21"/>
              </w:rPr>
            </w:pPr>
            <w:r>
              <w:rPr>
                <w:rFonts w:hint="eastAsia" w:ascii="宋体" w:cs="宋体"/>
                <w:color w:val="auto"/>
                <w:kern w:val="0"/>
                <w:szCs w:val="21"/>
              </w:rPr>
              <w:t>3、原厂制造商为高新技术企业，须提供加盖制造商鲜章的高新技术企业证书复印件。</w:t>
            </w:r>
          </w:p>
          <w:p w14:paraId="4837566D">
            <w:pPr>
              <w:spacing w:line="360" w:lineRule="auto"/>
              <w:rPr>
                <w:rFonts w:hint="eastAsia" w:ascii="宋体" w:cs="宋体"/>
                <w:color w:val="auto"/>
                <w:kern w:val="0"/>
                <w:szCs w:val="21"/>
              </w:rPr>
            </w:pPr>
            <w:r>
              <w:rPr>
                <w:rFonts w:hint="eastAsia" w:ascii="宋体" w:cs="宋体"/>
                <w:color w:val="auto"/>
                <w:kern w:val="0"/>
                <w:szCs w:val="21"/>
              </w:rPr>
              <w:t>4、原厂制造商被列为高等教育学会“校企合作，双百计划”典型案例。须提供加盖制造商鲜章的展板图片。</w:t>
            </w:r>
          </w:p>
          <w:p w14:paraId="5260EBB4">
            <w:pPr>
              <w:spacing w:line="360" w:lineRule="auto"/>
              <w:rPr>
                <w:rFonts w:ascii="宋体" w:hAnsi="Calibri" w:eastAsia="宋体" w:cs="宋体"/>
                <w:color w:val="auto"/>
                <w:kern w:val="0"/>
                <w:sz w:val="21"/>
                <w:szCs w:val="21"/>
                <w:lang w:val="en-US" w:eastAsia="zh-CN" w:bidi="ar-SA"/>
              </w:rPr>
            </w:pPr>
            <w:r>
              <w:rPr>
                <w:rFonts w:hint="eastAsia" w:ascii="宋体" w:cs="宋体"/>
                <w:color w:val="auto"/>
                <w:kern w:val="0"/>
                <w:szCs w:val="21"/>
              </w:rPr>
              <w:t>5、软件中配有上课使用的教学PPT。需</w:t>
            </w:r>
            <w:r>
              <w:rPr>
                <w:rFonts w:hint="eastAsia" w:ascii="宋体" w:cs="宋体"/>
                <w:color w:val="auto"/>
                <w:kern w:val="0"/>
                <w:szCs w:val="21"/>
                <w:lang w:eastAsia="zh-CN"/>
              </w:rPr>
              <w:t>现场或远程演示</w:t>
            </w:r>
            <w:r>
              <w:rPr>
                <w:rFonts w:hint="eastAsia" w:ascii="宋体" w:cs="宋体"/>
                <w:color w:val="auto"/>
                <w:kern w:val="0"/>
                <w:szCs w:val="21"/>
              </w:rPr>
              <w:t>。</w:t>
            </w:r>
          </w:p>
        </w:tc>
      </w:tr>
      <w:tr w14:paraId="2BF2C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8" w:hRule="atLeast"/>
          <w:jc w:val="center"/>
        </w:trPr>
        <w:tc>
          <w:tcPr>
            <w:tcW w:w="1929" w:type="dxa"/>
            <w:vAlign w:val="center"/>
          </w:tcPr>
          <w:p w14:paraId="2E5D2A40">
            <w:pPr>
              <w:jc w:val="center"/>
              <w:rPr>
                <w:szCs w:val="21"/>
              </w:rPr>
            </w:pPr>
            <w:r>
              <w:rPr>
                <w:rFonts w:hint="eastAsia"/>
                <w:szCs w:val="21"/>
              </w:rPr>
              <w:t>售后服务要求</w:t>
            </w:r>
          </w:p>
        </w:tc>
        <w:tc>
          <w:tcPr>
            <w:tcW w:w="7230" w:type="dxa"/>
            <w:gridSpan w:val="4"/>
            <w:vAlign w:val="center"/>
          </w:tcPr>
          <w:p w14:paraId="10A27932">
            <w:pPr>
              <w:spacing w:line="360" w:lineRule="exact"/>
              <w:jc w:val="left"/>
              <w:rPr>
                <w:rFonts w:ascii="宋体" w:cs="宋体"/>
                <w:color w:val="000000"/>
                <w:kern w:val="0"/>
                <w:sz w:val="21"/>
                <w:szCs w:val="21"/>
              </w:rPr>
            </w:pPr>
            <w:r>
              <w:rPr>
                <w:rFonts w:ascii="宋体" w:hAnsi="宋体" w:cs="宋体"/>
                <w:color w:val="000000"/>
                <w:kern w:val="0"/>
                <w:sz w:val="21"/>
                <w:szCs w:val="21"/>
              </w:rPr>
              <w:t>1.</w:t>
            </w:r>
            <w:r>
              <w:rPr>
                <w:rFonts w:hint="eastAsia" w:ascii="宋体" w:hAnsi="宋体" w:cs="宋体"/>
                <w:color w:val="000000"/>
                <w:kern w:val="0"/>
                <w:sz w:val="21"/>
                <w:szCs w:val="21"/>
              </w:rPr>
              <w:t>产品质保期：验收合格后开始计算，成交人提供质保期为</w:t>
            </w:r>
            <w:r>
              <w:rPr>
                <w:rFonts w:ascii="宋体" w:hAnsi="宋体" w:cs="宋体"/>
                <w:color w:val="000000"/>
                <w:kern w:val="0"/>
                <w:sz w:val="21"/>
                <w:szCs w:val="21"/>
              </w:rPr>
              <w:t>3</w:t>
            </w:r>
            <w:r>
              <w:rPr>
                <w:rFonts w:hint="eastAsia" w:ascii="宋体" w:hAnsi="宋体" w:cs="宋体"/>
                <w:color w:val="000000"/>
                <w:kern w:val="0"/>
                <w:sz w:val="21"/>
                <w:szCs w:val="21"/>
              </w:rPr>
              <w:t>年。</w:t>
            </w:r>
          </w:p>
          <w:p w14:paraId="524A929D">
            <w:pPr>
              <w:spacing w:line="360" w:lineRule="exact"/>
              <w:jc w:val="left"/>
              <w:rPr>
                <w:szCs w:val="21"/>
              </w:rPr>
            </w:pPr>
            <w:r>
              <w:rPr>
                <w:rFonts w:ascii="宋体" w:hAnsi="宋体" w:cs="宋体"/>
                <w:color w:val="000000"/>
                <w:kern w:val="0"/>
                <w:sz w:val="21"/>
                <w:szCs w:val="21"/>
              </w:rPr>
              <w:t>2.</w:t>
            </w:r>
            <w:r>
              <w:rPr>
                <w:rFonts w:hint="eastAsia" w:ascii="宋体" w:hAnsi="宋体" w:cs="宋体"/>
                <w:color w:val="000000"/>
                <w:kern w:val="0"/>
                <w:sz w:val="21"/>
                <w:szCs w:val="21"/>
              </w:rPr>
              <w:t>产品故障响应时间：质保期内，成交人安排专人负责维护，产品出现故障保证在</w:t>
            </w:r>
            <w:r>
              <w:rPr>
                <w:rFonts w:ascii="宋体" w:hAnsi="宋体" w:cs="宋体"/>
                <w:color w:val="000000"/>
                <w:kern w:val="0"/>
                <w:sz w:val="21"/>
                <w:szCs w:val="21"/>
              </w:rPr>
              <w:t>24</w:t>
            </w:r>
            <w:r>
              <w:rPr>
                <w:rFonts w:hint="eastAsia" w:ascii="宋体" w:hAnsi="宋体" w:cs="宋体"/>
                <w:color w:val="000000"/>
                <w:kern w:val="0"/>
                <w:sz w:val="21"/>
                <w:szCs w:val="21"/>
              </w:rPr>
              <w:t>小时内做出响应</w:t>
            </w:r>
            <w:r>
              <w:rPr>
                <w:rFonts w:ascii="宋体" w:hAnsi="宋体" w:cs="宋体"/>
                <w:color w:val="000000"/>
                <w:kern w:val="0"/>
                <w:sz w:val="21"/>
                <w:szCs w:val="21"/>
              </w:rPr>
              <w:t>48</w:t>
            </w:r>
            <w:r>
              <w:rPr>
                <w:rFonts w:hint="eastAsia" w:ascii="宋体" w:hAnsi="宋体" w:cs="宋体"/>
                <w:color w:val="000000"/>
                <w:kern w:val="0"/>
                <w:sz w:val="21"/>
                <w:szCs w:val="21"/>
              </w:rPr>
              <w:t>小时内派专业技术人员到现场进行维护，</w:t>
            </w:r>
            <w:r>
              <w:rPr>
                <w:rFonts w:ascii="宋体" w:hAnsi="宋体" w:cs="宋体"/>
                <w:color w:val="000000"/>
                <w:kern w:val="0"/>
                <w:sz w:val="21"/>
                <w:szCs w:val="21"/>
              </w:rPr>
              <w:t>48</w:t>
            </w:r>
            <w:r>
              <w:rPr>
                <w:rFonts w:hint="eastAsia" w:ascii="宋体" w:hAnsi="宋体" w:cs="宋体"/>
                <w:color w:val="000000"/>
                <w:kern w:val="0"/>
                <w:sz w:val="21"/>
                <w:szCs w:val="21"/>
              </w:rPr>
              <w:t>小时内解决问题，故障不能按时排除则提供备用产品。</w:t>
            </w:r>
          </w:p>
        </w:tc>
      </w:tr>
      <w:tr w14:paraId="64AEF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929" w:type="dxa"/>
            <w:vAlign w:val="center"/>
          </w:tcPr>
          <w:p w14:paraId="3305E651">
            <w:pPr>
              <w:jc w:val="center"/>
              <w:rPr>
                <w:szCs w:val="21"/>
              </w:rPr>
            </w:pPr>
            <w:r>
              <w:rPr>
                <w:rFonts w:hint="eastAsia"/>
                <w:szCs w:val="21"/>
              </w:rPr>
              <w:t>备</w:t>
            </w:r>
            <w:r>
              <w:rPr>
                <w:szCs w:val="21"/>
              </w:rPr>
              <w:t xml:space="preserve">  </w:t>
            </w:r>
            <w:r>
              <w:rPr>
                <w:rFonts w:hint="eastAsia"/>
                <w:szCs w:val="21"/>
              </w:rPr>
              <w:t>注</w:t>
            </w:r>
          </w:p>
        </w:tc>
        <w:tc>
          <w:tcPr>
            <w:tcW w:w="7230" w:type="dxa"/>
            <w:gridSpan w:val="4"/>
            <w:vAlign w:val="center"/>
          </w:tcPr>
          <w:p w14:paraId="356383DB">
            <w:pPr>
              <w:jc w:val="left"/>
              <w:rPr>
                <w:szCs w:val="21"/>
              </w:rPr>
            </w:pPr>
            <w:r>
              <w:rPr>
                <w:rFonts w:hint="eastAsia"/>
                <w:sz w:val="20"/>
                <w:szCs w:val="20"/>
              </w:rPr>
              <w:t>通用项目（如计算机类，打印复印类、家电类等）没有特殊需求的，不需要提供</w:t>
            </w:r>
            <w:bookmarkStart w:id="0" w:name="_GoBack"/>
            <w:r>
              <w:rPr>
                <w:rFonts w:hint="eastAsia"/>
                <w:sz w:val="20"/>
                <w:szCs w:val="20"/>
              </w:rPr>
              <w:t>三家</w:t>
            </w:r>
            <w:bookmarkEnd w:id="0"/>
            <w:r>
              <w:rPr>
                <w:rFonts w:hint="eastAsia"/>
                <w:sz w:val="20"/>
                <w:szCs w:val="20"/>
              </w:rPr>
              <w:t>参数。</w:t>
            </w:r>
          </w:p>
        </w:tc>
      </w:tr>
      <w:tr w14:paraId="34B2E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jc w:val="center"/>
        </w:trPr>
        <w:tc>
          <w:tcPr>
            <w:tcW w:w="1929" w:type="dxa"/>
            <w:vAlign w:val="center"/>
          </w:tcPr>
          <w:p w14:paraId="0CF30A1E">
            <w:pPr>
              <w:jc w:val="center"/>
              <w:rPr>
                <w:szCs w:val="21"/>
              </w:rPr>
            </w:pPr>
          </w:p>
          <w:p w14:paraId="25F865F6">
            <w:pPr>
              <w:jc w:val="center"/>
              <w:rPr>
                <w:szCs w:val="21"/>
              </w:rPr>
            </w:pPr>
            <w:r>
              <w:rPr>
                <w:rFonts w:hint="eastAsia"/>
                <w:szCs w:val="21"/>
              </w:rPr>
              <w:t>填报单位</w:t>
            </w:r>
          </w:p>
          <w:p w14:paraId="3A16C3FD">
            <w:pPr>
              <w:jc w:val="center"/>
              <w:rPr>
                <w:szCs w:val="21"/>
              </w:rPr>
            </w:pPr>
          </w:p>
        </w:tc>
        <w:tc>
          <w:tcPr>
            <w:tcW w:w="7230" w:type="dxa"/>
            <w:gridSpan w:val="4"/>
            <w:vAlign w:val="center"/>
          </w:tcPr>
          <w:p w14:paraId="69DB306E">
            <w:pPr>
              <w:jc w:val="center"/>
              <w:rPr>
                <w:szCs w:val="21"/>
              </w:rPr>
            </w:pPr>
          </w:p>
          <w:p w14:paraId="2ED1B273">
            <w:pPr>
              <w:rPr>
                <w:szCs w:val="21"/>
              </w:rPr>
            </w:pPr>
            <w:r>
              <w:rPr>
                <w:rFonts w:hint="eastAsia"/>
                <w:szCs w:val="21"/>
              </w:rPr>
              <w:t>项目负责人：</w:t>
            </w:r>
            <w:r>
              <w:rPr>
                <w:szCs w:val="21"/>
              </w:rPr>
              <w:t xml:space="preserve">                </w:t>
            </w:r>
            <w:r>
              <w:rPr>
                <w:rFonts w:hint="eastAsia"/>
                <w:szCs w:val="21"/>
              </w:rPr>
              <w:t>联系方式：</w:t>
            </w:r>
            <w:r>
              <w:rPr>
                <w:szCs w:val="21"/>
              </w:rPr>
              <w:t xml:space="preserve">                                  </w:t>
            </w:r>
          </w:p>
        </w:tc>
      </w:tr>
    </w:tbl>
    <w:p w14:paraId="0FA48F65">
      <w:pPr>
        <w:jc w:val="center"/>
        <w:rPr>
          <w:sz w:val="20"/>
          <w:szCs w:val="20"/>
        </w:rPr>
      </w:pPr>
    </w:p>
    <w:p w14:paraId="446C19C3">
      <w:pPr>
        <w:jc w:val="center"/>
        <w:rPr>
          <w:sz w:val="20"/>
          <w:szCs w:val="20"/>
        </w:rPr>
      </w:pPr>
      <w:r>
        <w:rPr>
          <w:rFonts w:hint="eastAsia"/>
          <w:sz w:val="20"/>
          <w:szCs w:val="20"/>
        </w:rPr>
        <w:t>注：</w:t>
      </w:r>
      <w:r>
        <w:rPr>
          <w:sz w:val="20"/>
          <w:szCs w:val="20"/>
        </w:rPr>
        <w:t>1</w:t>
      </w:r>
      <w:r>
        <w:rPr>
          <w:rFonts w:hint="eastAsia"/>
          <w:sz w:val="20"/>
          <w:szCs w:val="20"/>
        </w:rPr>
        <w:t>、通用项目（如计算机类，打印复印类、家电类等）没有特殊需求的，不需要提供三家参数。</w:t>
      </w:r>
    </w:p>
    <w:p w14:paraId="4270D5D8">
      <w:pPr>
        <w:jc w:val="center"/>
        <w:rPr>
          <w:sz w:val="20"/>
          <w:szCs w:val="20"/>
        </w:rPr>
      </w:pPr>
      <w:r>
        <w:rPr>
          <w:sz w:val="20"/>
          <w:szCs w:val="20"/>
        </w:rPr>
        <w:t>2</w:t>
      </w:r>
      <w:r>
        <w:rPr>
          <w:rFonts w:hint="eastAsia"/>
          <w:sz w:val="20"/>
          <w:szCs w:val="20"/>
        </w:rPr>
        <w:t>、项目单价</w:t>
      </w:r>
      <w:r>
        <w:rPr>
          <w:color w:val="FF0000"/>
          <w:sz w:val="20"/>
          <w:szCs w:val="20"/>
        </w:rPr>
        <w:t>10</w:t>
      </w:r>
      <w:r>
        <w:rPr>
          <w:rFonts w:hint="eastAsia"/>
          <w:color w:val="FF0000"/>
          <w:sz w:val="20"/>
          <w:szCs w:val="20"/>
        </w:rPr>
        <w:t>万</w:t>
      </w:r>
      <w:r>
        <w:rPr>
          <w:rFonts w:hint="eastAsia"/>
          <w:sz w:val="20"/>
          <w:szCs w:val="20"/>
        </w:rPr>
        <w:t>或批量</w:t>
      </w:r>
      <w:r>
        <w:rPr>
          <w:color w:val="FF0000"/>
          <w:sz w:val="20"/>
          <w:szCs w:val="20"/>
        </w:rPr>
        <w:t>50</w:t>
      </w:r>
      <w:r>
        <w:rPr>
          <w:rFonts w:hint="eastAsia"/>
          <w:color w:val="FF0000"/>
          <w:sz w:val="20"/>
          <w:szCs w:val="20"/>
        </w:rPr>
        <w:t>万</w:t>
      </w:r>
      <w:r>
        <w:rPr>
          <w:rFonts w:hint="eastAsia"/>
          <w:sz w:val="20"/>
          <w:szCs w:val="20"/>
        </w:rPr>
        <w:t>以上，需求单位须去厂家或使用单位实地考察后填写此论证报告。</w:t>
      </w:r>
      <w:r>
        <w:rPr>
          <w:sz w:val="20"/>
          <w:szCs w:val="20"/>
        </w:rPr>
        <w:br w:type="page"/>
      </w:r>
    </w:p>
    <w:p w14:paraId="74116781">
      <w:pPr>
        <w:ind w:firstLine="840" w:firstLineChars="400"/>
        <w:rPr>
          <w:rFonts w:ascii="宋体"/>
          <w:szCs w:val="21"/>
        </w:rPr>
      </w:pPr>
    </w:p>
    <w:tbl>
      <w:tblPr>
        <w:tblStyle w:val="13"/>
        <w:tblW w:w="9000" w:type="dxa"/>
        <w:tblInd w:w="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0"/>
      </w:tblGrid>
      <w:tr w14:paraId="47BB8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5" w:hRule="atLeast"/>
        </w:trPr>
        <w:tc>
          <w:tcPr>
            <w:tcW w:w="9000" w:type="dxa"/>
          </w:tcPr>
          <w:p w14:paraId="624022D2">
            <w:pPr>
              <w:rPr>
                <w:rFonts w:ascii="宋体"/>
                <w:b/>
                <w:sz w:val="28"/>
                <w:szCs w:val="28"/>
              </w:rPr>
            </w:pPr>
            <w:r>
              <w:rPr>
                <w:rFonts w:hint="eastAsia" w:ascii="宋体" w:hAnsi="宋体"/>
                <w:b/>
                <w:sz w:val="28"/>
                <w:szCs w:val="28"/>
              </w:rPr>
              <w:t>五、申报单位论证意见</w:t>
            </w:r>
          </w:p>
          <w:p w14:paraId="51376991">
            <w:pPr>
              <w:ind w:firstLine="482" w:firstLineChars="200"/>
              <w:rPr>
                <w:rFonts w:ascii="宋体"/>
                <w:b/>
                <w:sz w:val="24"/>
              </w:rPr>
            </w:pPr>
          </w:p>
          <w:p w14:paraId="0DA376D9">
            <w:pPr>
              <w:ind w:firstLine="482" w:firstLineChars="200"/>
              <w:rPr>
                <w:rFonts w:ascii="宋体"/>
                <w:b/>
                <w:sz w:val="24"/>
              </w:rPr>
            </w:pPr>
          </w:p>
          <w:p w14:paraId="64572BCB">
            <w:pPr>
              <w:ind w:firstLine="482" w:firstLineChars="200"/>
              <w:rPr>
                <w:rFonts w:ascii="宋体"/>
                <w:b/>
                <w:sz w:val="24"/>
              </w:rPr>
            </w:pPr>
          </w:p>
          <w:p w14:paraId="4B8A55B5">
            <w:pPr>
              <w:rPr>
                <w:rFonts w:ascii="宋体" w:hAnsi="宋体"/>
                <w:b/>
                <w:sz w:val="24"/>
              </w:rPr>
            </w:pPr>
            <w:r>
              <w:rPr>
                <w:rFonts w:ascii="宋体" w:hAnsi="宋体"/>
                <w:b/>
                <w:sz w:val="24"/>
              </w:rPr>
              <w:t xml:space="preserve">    </w:t>
            </w:r>
          </w:p>
          <w:p w14:paraId="45A2D3D3">
            <w:pPr>
              <w:rPr>
                <w:rFonts w:ascii="宋体" w:hAnsi="宋体"/>
                <w:b/>
                <w:sz w:val="24"/>
              </w:rPr>
            </w:pPr>
            <w:r>
              <w:rPr>
                <w:rFonts w:ascii="宋体" w:hAnsi="宋体"/>
                <w:b/>
                <w:sz w:val="24"/>
              </w:rPr>
              <w:t xml:space="preserve">        </w:t>
            </w:r>
          </w:p>
          <w:p w14:paraId="4F8BB963">
            <w:pPr>
              <w:ind w:firstLine="560" w:firstLineChars="200"/>
              <w:rPr>
                <w:rFonts w:ascii="宋体" w:hAnsi="宋体"/>
                <w:sz w:val="28"/>
                <w:szCs w:val="28"/>
              </w:rPr>
            </w:pPr>
            <w:r>
              <w:rPr>
                <w:rFonts w:hint="eastAsia" w:ascii="宋体" w:hAnsi="宋体"/>
                <w:sz w:val="28"/>
                <w:szCs w:val="28"/>
              </w:rPr>
              <w:t>论证人员签字：</w:t>
            </w:r>
            <w:r>
              <w:rPr>
                <w:rFonts w:ascii="宋体" w:hAnsi="宋体"/>
                <w:sz w:val="28"/>
                <w:szCs w:val="28"/>
              </w:rPr>
              <w:t xml:space="preserve">                </w:t>
            </w:r>
          </w:p>
          <w:p w14:paraId="0F670C87">
            <w:pPr>
              <w:ind w:firstLine="560" w:firstLineChars="200"/>
              <w:rPr>
                <w:rFonts w:ascii="宋体" w:hAnsi="宋体"/>
                <w:sz w:val="28"/>
                <w:szCs w:val="28"/>
              </w:rPr>
            </w:pPr>
            <w:r>
              <w:rPr>
                <w:rFonts w:ascii="宋体" w:hAnsi="宋体"/>
                <w:sz w:val="28"/>
                <w:szCs w:val="28"/>
              </w:rPr>
              <w:t xml:space="preserve">        </w:t>
            </w:r>
          </w:p>
          <w:p w14:paraId="4E6FD1B4">
            <w:pPr>
              <w:rPr>
                <w:rFonts w:ascii="宋体" w:hAnsi="宋体"/>
                <w:sz w:val="28"/>
                <w:szCs w:val="28"/>
              </w:rPr>
            </w:pPr>
            <w:r>
              <w:rPr>
                <w:rFonts w:ascii="宋体" w:hAnsi="宋体"/>
                <w:sz w:val="28"/>
                <w:szCs w:val="28"/>
              </w:rPr>
              <w:t xml:space="preserve">    </w:t>
            </w:r>
            <w:r>
              <w:rPr>
                <w:rFonts w:hint="eastAsia" w:ascii="宋体" w:hAnsi="宋体"/>
                <w:sz w:val="28"/>
                <w:szCs w:val="28"/>
              </w:rPr>
              <w:t>单位负责人：</w:t>
            </w:r>
            <w:r>
              <w:rPr>
                <w:rFonts w:ascii="宋体" w:hAnsi="宋体"/>
                <w:sz w:val="28"/>
                <w:szCs w:val="28"/>
              </w:rPr>
              <w:t xml:space="preserve">               </w:t>
            </w:r>
            <w:r>
              <w:rPr>
                <w:rFonts w:hint="eastAsia" w:ascii="宋体" w:hAnsi="宋体"/>
                <w:sz w:val="28"/>
                <w:szCs w:val="28"/>
              </w:rPr>
              <w:t>　　　　　</w:t>
            </w:r>
            <w:r>
              <w:rPr>
                <w:rFonts w:ascii="宋体" w:hAnsi="宋体"/>
                <w:sz w:val="28"/>
                <w:szCs w:val="28"/>
              </w:rPr>
              <w:t xml:space="preserve">   </w:t>
            </w:r>
            <w:r>
              <w:rPr>
                <w:rFonts w:hint="eastAsia" w:ascii="宋体" w:hAnsi="宋体"/>
                <w:sz w:val="28"/>
                <w:szCs w:val="28"/>
              </w:rPr>
              <w:t>年</w:t>
            </w:r>
            <w:r>
              <w:rPr>
                <w:rFonts w:ascii="宋体" w:hAnsi="宋体"/>
                <w:sz w:val="28"/>
                <w:szCs w:val="28"/>
              </w:rPr>
              <w:t xml:space="preserve">    </w:t>
            </w:r>
            <w:r>
              <w:rPr>
                <w:rFonts w:hint="eastAsia" w:ascii="宋体" w:hAnsi="宋体"/>
                <w:sz w:val="28"/>
                <w:szCs w:val="28"/>
              </w:rPr>
              <w:t>月</w:t>
            </w:r>
            <w:r>
              <w:rPr>
                <w:rFonts w:ascii="宋体" w:hAnsi="宋体"/>
                <w:sz w:val="28"/>
                <w:szCs w:val="28"/>
              </w:rPr>
              <w:t xml:space="preserve">    </w:t>
            </w:r>
            <w:r>
              <w:rPr>
                <w:rFonts w:hint="eastAsia" w:ascii="宋体" w:hAnsi="宋体"/>
                <w:sz w:val="28"/>
                <w:szCs w:val="28"/>
              </w:rPr>
              <w:t>日</w:t>
            </w:r>
            <w:r>
              <w:rPr>
                <w:rFonts w:ascii="宋体" w:hAnsi="宋体"/>
                <w:sz w:val="28"/>
                <w:szCs w:val="28"/>
              </w:rPr>
              <w:t xml:space="preserve">  </w:t>
            </w:r>
          </w:p>
        </w:tc>
      </w:tr>
      <w:tr w14:paraId="728BB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9" w:hRule="atLeast"/>
        </w:trPr>
        <w:tc>
          <w:tcPr>
            <w:tcW w:w="9000" w:type="dxa"/>
          </w:tcPr>
          <w:p w14:paraId="4A1A178E">
            <w:pPr>
              <w:rPr>
                <w:rFonts w:ascii="宋体"/>
                <w:b/>
                <w:sz w:val="28"/>
                <w:szCs w:val="28"/>
              </w:rPr>
            </w:pPr>
            <w:r>
              <w:rPr>
                <w:rFonts w:hint="eastAsia" w:ascii="宋体" w:hAnsi="宋体"/>
                <w:b/>
                <w:sz w:val="28"/>
                <w:szCs w:val="28"/>
              </w:rPr>
              <w:t>六、主管单位审核意见</w:t>
            </w:r>
          </w:p>
          <w:p w14:paraId="71028295">
            <w:pPr>
              <w:ind w:firstLine="480" w:firstLineChars="200"/>
              <w:rPr>
                <w:rFonts w:ascii="宋体" w:cs="宋体"/>
                <w:sz w:val="24"/>
              </w:rPr>
            </w:pPr>
          </w:p>
          <w:p w14:paraId="6BB0C49E">
            <w:pPr>
              <w:ind w:firstLine="480" w:firstLineChars="200"/>
              <w:rPr>
                <w:rFonts w:ascii="宋体" w:cs="宋体"/>
                <w:sz w:val="24"/>
              </w:rPr>
            </w:pPr>
          </w:p>
          <w:p w14:paraId="4795ACA6">
            <w:pPr>
              <w:ind w:firstLine="480" w:firstLineChars="200"/>
              <w:rPr>
                <w:rFonts w:ascii="宋体" w:cs="宋体"/>
                <w:sz w:val="24"/>
              </w:rPr>
            </w:pPr>
          </w:p>
          <w:p w14:paraId="6C0AFDDC">
            <w:pPr>
              <w:ind w:firstLine="560" w:firstLineChars="200"/>
              <w:rPr>
                <w:rFonts w:ascii="宋体"/>
                <w:b/>
                <w:sz w:val="28"/>
                <w:szCs w:val="28"/>
              </w:rPr>
            </w:pPr>
            <w:r>
              <w:rPr>
                <w:rFonts w:hint="eastAsia" w:ascii="宋体" w:hAnsi="宋体" w:cs="宋体"/>
                <w:sz w:val="28"/>
                <w:szCs w:val="28"/>
              </w:rPr>
              <w:t>主管</w:t>
            </w:r>
            <w:r>
              <w:rPr>
                <w:rFonts w:hint="eastAsia" w:ascii="宋体" w:hAnsi="宋体"/>
                <w:sz w:val="28"/>
                <w:szCs w:val="28"/>
              </w:rPr>
              <w:t>单位负责人：</w:t>
            </w:r>
            <w:r>
              <w:rPr>
                <w:rFonts w:ascii="宋体" w:hAnsi="宋体"/>
                <w:sz w:val="28"/>
                <w:szCs w:val="28"/>
              </w:rPr>
              <w:t xml:space="preserve">                         </w:t>
            </w:r>
            <w:r>
              <w:rPr>
                <w:rFonts w:hint="eastAsia" w:ascii="宋体" w:hAnsi="宋体"/>
                <w:sz w:val="28"/>
                <w:szCs w:val="28"/>
              </w:rPr>
              <w:t>年</w:t>
            </w:r>
            <w:r>
              <w:rPr>
                <w:rFonts w:ascii="宋体" w:hAnsi="宋体"/>
                <w:sz w:val="28"/>
                <w:szCs w:val="28"/>
              </w:rPr>
              <w:t xml:space="preserve">    </w:t>
            </w:r>
            <w:r>
              <w:rPr>
                <w:rFonts w:hint="eastAsia" w:ascii="宋体" w:hAnsi="宋体"/>
                <w:sz w:val="28"/>
                <w:szCs w:val="28"/>
              </w:rPr>
              <w:t>月</w:t>
            </w:r>
            <w:r>
              <w:rPr>
                <w:rFonts w:ascii="宋体" w:hAnsi="宋体"/>
                <w:sz w:val="28"/>
                <w:szCs w:val="28"/>
              </w:rPr>
              <w:t xml:space="preserve">    </w:t>
            </w:r>
            <w:r>
              <w:rPr>
                <w:rFonts w:hint="eastAsia" w:ascii="宋体" w:hAnsi="宋体"/>
                <w:sz w:val="28"/>
                <w:szCs w:val="28"/>
              </w:rPr>
              <w:t>日</w:t>
            </w:r>
            <w:r>
              <w:rPr>
                <w:rFonts w:ascii="宋体" w:hAnsi="宋体"/>
                <w:sz w:val="28"/>
                <w:szCs w:val="28"/>
              </w:rPr>
              <w:t xml:space="preserve">                                </w:t>
            </w:r>
            <w:r>
              <w:rPr>
                <w:rFonts w:hint="eastAsia" w:ascii="宋体" w:hAnsi="宋体"/>
                <w:sz w:val="28"/>
                <w:szCs w:val="28"/>
              </w:rPr>
              <w:t>　　　　　</w:t>
            </w:r>
          </w:p>
        </w:tc>
      </w:tr>
      <w:tr w14:paraId="0AF7D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1" w:hRule="atLeast"/>
        </w:trPr>
        <w:tc>
          <w:tcPr>
            <w:tcW w:w="9000" w:type="dxa"/>
          </w:tcPr>
          <w:p w14:paraId="12C96821">
            <w:pPr>
              <w:rPr>
                <w:rFonts w:ascii="宋体"/>
                <w:b/>
                <w:sz w:val="28"/>
                <w:szCs w:val="28"/>
              </w:rPr>
            </w:pPr>
            <w:r>
              <w:rPr>
                <w:rFonts w:hint="eastAsia" w:ascii="宋体" w:hAnsi="宋体"/>
                <w:b/>
                <w:sz w:val="28"/>
                <w:szCs w:val="28"/>
              </w:rPr>
              <w:t>七、主管校领导意见</w:t>
            </w:r>
          </w:p>
          <w:p w14:paraId="273D624A">
            <w:pPr>
              <w:ind w:firstLine="480" w:firstLineChars="200"/>
              <w:rPr>
                <w:rFonts w:ascii="宋体" w:cs="宋体"/>
                <w:sz w:val="24"/>
              </w:rPr>
            </w:pPr>
          </w:p>
          <w:p w14:paraId="4C48BB4E">
            <w:pPr>
              <w:ind w:firstLine="480" w:firstLineChars="200"/>
              <w:rPr>
                <w:rFonts w:ascii="宋体" w:cs="宋体"/>
                <w:sz w:val="24"/>
              </w:rPr>
            </w:pPr>
          </w:p>
          <w:p w14:paraId="4A33DF4A">
            <w:pPr>
              <w:ind w:firstLine="480" w:firstLineChars="200"/>
              <w:rPr>
                <w:rFonts w:ascii="宋体" w:cs="宋体"/>
                <w:sz w:val="24"/>
              </w:rPr>
            </w:pPr>
          </w:p>
          <w:p w14:paraId="5E88D2C3">
            <w:pPr>
              <w:ind w:firstLine="560" w:firstLineChars="200"/>
              <w:rPr>
                <w:rFonts w:ascii="宋体" w:hAnsi="宋体"/>
                <w:sz w:val="28"/>
                <w:szCs w:val="28"/>
              </w:rPr>
            </w:pPr>
            <w:r>
              <w:rPr>
                <w:rFonts w:hint="eastAsia" w:ascii="宋体" w:hAnsi="宋体" w:cs="宋体"/>
                <w:sz w:val="28"/>
                <w:szCs w:val="28"/>
              </w:rPr>
              <w:t>主管</w:t>
            </w:r>
            <w:r>
              <w:rPr>
                <w:rFonts w:hint="eastAsia" w:ascii="宋体" w:hAnsi="宋体"/>
                <w:sz w:val="28"/>
                <w:szCs w:val="28"/>
              </w:rPr>
              <w:t>校领导：</w:t>
            </w:r>
            <w:r>
              <w:rPr>
                <w:rFonts w:ascii="宋体" w:hAnsi="宋体"/>
                <w:sz w:val="28"/>
                <w:szCs w:val="28"/>
              </w:rPr>
              <w:t xml:space="preserve">                            </w:t>
            </w:r>
            <w:r>
              <w:rPr>
                <w:rFonts w:hint="eastAsia" w:ascii="宋体" w:hAnsi="宋体"/>
                <w:sz w:val="28"/>
                <w:szCs w:val="28"/>
              </w:rPr>
              <w:t>年</w:t>
            </w:r>
            <w:r>
              <w:rPr>
                <w:rFonts w:ascii="宋体" w:hAnsi="宋体"/>
                <w:sz w:val="28"/>
                <w:szCs w:val="28"/>
              </w:rPr>
              <w:t xml:space="preserve">    </w:t>
            </w:r>
            <w:r>
              <w:rPr>
                <w:rFonts w:hint="eastAsia" w:ascii="宋体" w:hAnsi="宋体"/>
                <w:sz w:val="28"/>
                <w:szCs w:val="28"/>
              </w:rPr>
              <w:t>月</w:t>
            </w:r>
            <w:r>
              <w:rPr>
                <w:rFonts w:ascii="宋体" w:hAnsi="宋体"/>
                <w:sz w:val="28"/>
                <w:szCs w:val="28"/>
              </w:rPr>
              <w:t xml:space="preserve">    </w:t>
            </w:r>
            <w:r>
              <w:rPr>
                <w:rFonts w:hint="eastAsia" w:ascii="宋体" w:hAnsi="宋体"/>
                <w:sz w:val="28"/>
                <w:szCs w:val="28"/>
              </w:rPr>
              <w:t>日</w:t>
            </w:r>
            <w:r>
              <w:rPr>
                <w:rFonts w:ascii="宋体" w:hAnsi="宋体"/>
                <w:sz w:val="28"/>
                <w:szCs w:val="28"/>
              </w:rPr>
              <w:t xml:space="preserve">                     </w:t>
            </w:r>
            <w:r>
              <w:rPr>
                <w:rFonts w:hint="eastAsia" w:ascii="宋体" w:hAnsi="宋体"/>
                <w:sz w:val="28"/>
                <w:szCs w:val="28"/>
              </w:rPr>
              <w:t>　　　　　</w:t>
            </w:r>
            <w:r>
              <w:rPr>
                <w:rFonts w:ascii="宋体" w:hAnsi="宋体"/>
                <w:sz w:val="28"/>
                <w:szCs w:val="28"/>
              </w:rPr>
              <w:t xml:space="preserve">     </w:t>
            </w:r>
          </w:p>
        </w:tc>
      </w:tr>
      <w:tr w14:paraId="4040A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3" w:hRule="atLeast"/>
        </w:trPr>
        <w:tc>
          <w:tcPr>
            <w:tcW w:w="9000" w:type="dxa"/>
          </w:tcPr>
          <w:p w14:paraId="6FB62794">
            <w:pPr>
              <w:rPr>
                <w:rFonts w:ascii="宋体"/>
                <w:b/>
                <w:sz w:val="28"/>
                <w:szCs w:val="28"/>
              </w:rPr>
            </w:pPr>
            <w:r>
              <w:rPr>
                <w:rFonts w:hint="eastAsia" w:ascii="宋体" w:hAnsi="宋体"/>
                <w:b/>
                <w:sz w:val="28"/>
                <w:szCs w:val="28"/>
              </w:rPr>
              <w:t>八、专家组论证意见</w:t>
            </w:r>
            <w:r>
              <w:rPr>
                <w:rFonts w:ascii="宋体" w:hAnsi="宋体"/>
                <w:b/>
                <w:sz w:val="28"/>
                <w:szCs w:val="28"/>
              </w:rPr>
              <w:t xml:space="preserve">  </w:t>
            </w:r>
            <w:r>
              <w:rPr>
                <w:rFonts w:ascii="宋体" w:hAnsi="宋体"/>
                <w:sz w:val="28"/>
                <w:szCs w:val="28"/>
              </w:rPr>
              <w:t xml:space="preserve"> </w:t>
            </w:r>
          </w:p>
          <w:p w14:paraId="648F228D">
            <w:pPr>
              <w:ind w:firstLine="480" w:firstLineChars="200"/>
              <w:rPr>
                <w:rFonts w:ascii="宋体"/>
                <w:sz w:val="24"/>
              </w:rPr>
            </w:pPr>
          </w:p>
          <w:p w14:paraId="0CBAC3A8">
            <w:pPr>
              <w:ind w:firstLine="480" w:firstLineChars="200"/>
              <w:rPr>
                <w:rFonts w:ascii="宋体"/>
                <w:sz w:val="24"/>
              </w:rPr>
            </w:pPr>
          </w:p>
          <w:p w14:paraId="110C8F76">
            <w:pPr>
              <w:ind w:firstLine="480" w:firstLineChars="200"/>
              <w:rPr>
                <w:rFonts w:ascii="宋体"/>
                <w:sz w:val="24"/>
              </w:rPr>
            </w:pPr>
          </w:p>
          <w:p w14:paraId="61C9B160">
            <w:pPr>
              <w:ind w:firstLine="480" w:firstLineChars="200"/>
              <w:rPr>
                <w:rFonts w:ascii="宋体"/>
                <w:sz w:val="24"/>
              </w:rPr>
            </w:pPr>
          </w:p>
          <w:p w14:paraId="2E33AFAB">
            <w:pPr>
              <w:ind w:firstLine="560" w:firstLineChars="200"/>
              <w:rPr>
                <w:rFonts w:ascii="宋体" w:hAnsi="宋体" w:cs="宋体"/>
                <w:sz w:val="28"/>
                <w:szCs w:val="28"/>
              </w:rPr>
            </w:pPr>
            <w:r>
              <w:rPr>
                <w:rFonts w:hint="eastAsia" w:ascii="宋体" w:hAnsi="宋体"/>
                <w:sz w:val="28"/>
                <w:szCs w:val="28"/>
              </w:rPr>
              <w:t>专家组签字：</w:t>
            </w:r>
            <w:r>
              <w:rPr>
                <w:rFonts w:ascii="宋体" w:hAnsi="宋体"/>
                <w:sz w:val="28"/>
                <w:szCs w:val="28"/>
              </w:rPr>
              <w:t xml:space="preserve">                      </w:t>
            </w:r>
            <w:r>
              <w:rPr>
                <w:rFonts w:ascii="宋体" w:hAnsi="宋体" w:cs="宋体"/>
                <w:sz w:val="28"/>
                <w:szCs w:val="28"/>
              </w:rPr>
              <w:t xml:space="preserve">     </w:t>
            </w:r>
          </w:p>
          <w:p w14:paraId="2A14F6CB">
            <w:pPr>
              <w:ind w:firstLine="5880" w:firstLineChars="2100"/>
              <w:rPr>
                <w:rFonts w:ascii="宋体" w:hAnsi="宋体"/>
                <w:sz w:val="28"/>
                <w:szCs w:val="28"/>
              </w:rPr>
            </w:pPr>
            <w:r>
              <w:rPr>
                <w:rFonts w:ascii="宋体" w:hAnsi="宋体" w:cs="宋体"/>
                <w:sz w:val="28"/>
                <w:szCs w:val="28"/>
              </w:rPr>
              <w:t xml:space="preserve"> </w:t>
            </w:r>
            <w:r>
              <w:rPr>
                <w:rFonts w:hint="eastAsia" w:ascii="宋体" w:hAnsi="宋体"/>
                <w:sz w:val="28"/>
                <w:szCs w:val="28"/>
              </w:rPr>
              <w:t>年</w:t>
            </w:r>
            <w:r>
              <w:rPr>
                <w:rFonts w:ascii="宋体" w:hAnsi="宋体"/>
                <w:sz w:val="28"/>
                <w:szCs w:val="28"/>
              </w:rPr>
              <w:t xml:space="preserve">    </w:t>
            </w:r>
            <w:r>
              <w:rPr>
                <w:rFonts w:hint="eastAsia" w:ascii="宋体" w:hAnsi="宋体"/>
                <w:sz w:val="28"/>
                <w:szCs w:val="28"/>
              </w:rPr>
              <w:t>月</w:t>
            </w:r>
            <w:r>
              <w:rPr>
                <w:rFonts w:ascii="宋体" w:hAnsi="宋体"/>
                <w:sz w:val="28"/>
                <w:szCs w:val="28"/>
              </w:rPr>
              <w:t xml:space="preserve">    </w:t>
            </w:r>
            <w:r>
              <w:rPr>
                <w:rFonts w:hint="eastAsia" w:ascii="宋体" w:hAnsi="宋体"/>
                <w:sz w:val="28"/>
                <w:szCs w:val="28"/>
              </w:rPr>
              <w:t>日</w:t>
            </w:r>
            <w:r>
              <w:rPr>
                <w:rFonts w:ascii="宋体" w:hAnsi="宋体"/>
                <w:sz w:val="28"/>
                <w:szCs w:val="28"/>
              </w:rPr>
              <w:t xml:space="preserve"> </w:t>
            </w:r>
          </w:p>
        </w:tc>
      </w:tr>
    </w:tbl>
    <w:p w14:paraId="33940205">
      <w:pPr>
        <w:spacing w:line="560" w:lineRule="exact"/>
        <w:rPr>
          <w:rFonts w:hint="eastAsia" w:ascii="楷体_GB2312" w:hAnsi="宋体" w:eastAsia="楷体_GB2312" w:cs="宋体"/>
          <w:color w:val="333333"/>
          <w:kern w:val="0"/>
          <w:sz w:val="32"/>
          <w:szCs w:val="32"/>
        </w:rPr>
      </w:pPr>
      <w:r>
        <w:pict>
          <v:shape id="_x0000_s2050" o:spid="_x0000_s2050" o:spt="202" type="#_x0000_t202" style="position:absolute;left:0pt;margin-left:144pt;margin-top:123.4pt;height:62.4pt;width:126pt;z-index:251659264;mso-width-relative:page;mso-height-relative:page;" stroked="f" coordsize="21600,21600">
            <v:path/>
            <v:fill focussize="0,0"/>
            <v:stroke on="f" joinstyle="miter"/>
            <v:imagedata o:title=""/>
            <o:lock v:ext="edit"/>
            <v:textbox>
              <w:txbxContent>
                <w:p w14:paraId="41F93183"/>
              </w:txbxContent>
            </v:textbox>
          </v:shape>
        </w:pic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86"/>
    <w:family w:val="roman"/>
    <w:pitch w:val="default"/>
    <w:sig w:usb0="E00006FF" w:usb1="420024FF" w:usb2="02000000" w:usb3="00000000" w:csb0="2000019F" w:csb1="00000000"/>
  </w:font>
  <w:font w:name="华文中宋">
    <w:panose1 w:val="02010600040101010101"/>
    <w:charset w:val="86"/>
    <w:family w:val="auto"/>
    <w:pitch w:val="default"/>
    <w:sig w:usb0="00000287" w:usb1="080F0000" w:usb2="00000000" w:usb3="00000000" w:csb0="0004009F" w:csb1="DFD70000"/>
  </w:font>
  <w:font w:name="Microsoft Sans Serif">
    <w:panose1 w:val="020B0604020202020204"/>
    <w:charset w:val="00"/>
    <w:family w:val="swiss"/>
    <w:pitch w:val="default"/>
    <w:sig w:usb0="E5002EFF" w:usb1="C000605B" w:usb2="00000029" w:usb3="00000000" w:csb0="200101FF" w:csb1="20280000"/>
  </w:font>
  <w:font w:name="仿宋_GB2312">
    <w:altName w:val="仿宋"/>
    <w:panose1 w:val="02010609030101010101"/>
    <w:charset w:val="86"/>
    <w:family w:val="modern"/>
    <w:pitch w:val="default"/>
    <w:sig w:usb0="00000000" w:usb1="00000000" w:usb2="00000000" w:usb3="00000000" w:csb0="00040000" w:csb1="00000000"/>
  </w:font>
  <w:font w:name="华文新魏">
    <w:panose1 w:val="02010800040101010101"/>
    <w:charset w:val="86"/>
    <w:family w:val="auto"/>
    <w:pitch w:val="default"/>
    <w:sig w:usb0="00000001" w:usb1="080F0000" w:usb2="0000000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99E8D4">
    <w:pPr>
      <w:pStyle w:val="11"/>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844AA3">
    <w:pPr>
      <w:pStyle w:val="11"/>
      <w:ind w:firstLine="0" w:firstLineChars="0"/>
      <w:jc w:val="center"/>
    </w:pPr>
    <w:r>
      <w:rPr>
        <w:rFonts w:ascii="宋体" w:hAnsi="宋体" w:eastAsia="宋体" w:cs="宋体"/>
        <w:sz w:val="24"/>
        <w:szCs w:val="24"/>
      </w:rPr>
      <w:fldChar w:fldCharType="begin"/>
    </w:r>
    <w:r>
      <w:rPr>
        <w:rFonts w:ascii="宋体" w:hAnsi="宋体" w:eastAsia="宋体" w:cs="宋体"/>
        <w:sz w:val="24"/>
        <w:szCs w:val="24"/>
      </w:rPr>
      <w:instrText xml:space="preserve">INCLUDEPICTURE \d "D:\\QQ\\Tencent Files\\554354600\\nt_qq\\nt_data\\Pic\\2024-09\\Ori\\f78efc5913b515288639d0fd621a6757.png" \* MERGEFORMATINET </w:instrText>
    </w:r>
    <w:r>
      <w:rPr>
        <w:rFonts w:ascii="宋体" w:hAnsi="宋体" w:eastAsia="宋体" w:cs="宋体"/>
        <w:sz w:val="24"/>
        <w:szCs w:val="24"/>
      </w:rPr>
      <w:fldChar w:fldCharType="separate"/>
    </w:r>
    <w:r>
      <w:rPr>
        <w:rFonts w:ascii="宋体" w:hAnsi="宋体" w:eastAsia="宋体" w:cs="宋体"/>
        <w:sz w:val="24"/>
        <w:szCs w:val="24"/>
      </w:rPr>
      <w:pict>
        <v:shape id="_x0000_i1025" o:spt="75" alt="IMG_256" type="#_x0000_t75" style="height:15.2pt;width:85.65pt;" filled="f" o:preferrelative="t" stroked="f" coordsize="21600,21600">
          <v:path/>
          <v:fill on="f" focussize="0,0"/>
          <v:stroke on="f"/>
          <v:imagedata r:id="rId1" o:title="IMG_256"/>
          <o:lock v:ext="edit" aspectratio="t"/>
          <w10:wrap type="none"/>
          <w10:anchorlock/>
        </v:shape>
      </w:pict>
    </w:r>
    <w:r>
      <w:rPr>
        <w:rFonts w:ascii="宋体" w:hAnsi="宋体" w:eastAsia="宋体" w:cs="宋体"/>
        <w:sz w:val="24"/>
        <w:szCs w:val="24"/>
      </w:rPr>
      <w:fldChar w:fldCharType="end"/>
    </w:r>
    <w:r>
      <w:t> </w:t>
    </w:r>
    <w:r>
      <w:rPr>
        <w:rFonts w:hint="eastAsia"/>
        <w:lang w:val="en-US" w:eastAsia="zh-CN"/>
      </w:rPr>
      <w:t xml:space="preserve">    </w:t>
    </w:r>
    <w:r>
      <w:t> www.jiecl.com  微信公众号：</w:t>
    </w:r>
    <w:r>
      <w:rPr>
        <w:rFonts w:hint="eastAsia"/>
        <w:lang w:eastAsia="zh-CN"/>
      </w:rPr>
      <w:t>杰科力AI教学</w:t>
    </w:r>
    <w:r>
      <w:t>    TEL:028-81711073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CA5BF00"/>
    <w:multiLevelType w:val="singleLevel"/>
    <w:tmpl w:val="ACA5BF00"/>
    <w:lvl w:ilvl="0" w:tentative="0">
      <w:start w:val="1"/>
      <w:numFmt w:val="decimal"/>
      <w:suff w:val="nothing"/>
      <w:lvlText w:val="%1、"/>
      <w:lvlJc w:val="left"/>
    </w:lvl>
  </w:abstractNum>
  <w:abstractNum w:abstractNumId="1">
    <w:nsid w:val="02C56C2C"/>
    <w:multiLevelType w:val="multilevel"/>
    <w:tmpl w:val="02C56C2C"/>
    <w:lvl w:ilvl="0" w:tentative="0">
      <w:start w:val="1"/>
      <w:numFmt w:val="decimal"/>
      <w:lvlText w:val="%1."/>
      <w:lvlJc w:val="left"/>
      <w:pPr>
        <w:ind w:left="360" w:hanging="360"/>
      </w:pPr>
      <w:rPr>
        <w:rFonts w:hint="default" w:cs="Times New Roman"/>
      </w:rPr>
    </w:lvl>
    <w:lvl w:ilvl="1" w:tentative="0">
      <w:start w:val="1"/>
      <w:numFmt w:val="lowerLetter"/>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abstractNum w:abstractNumId="2">
    <w:nsid w:val="08B717E1"/>
    <w:multiLevelType w:val="multilevel"/>
    <w:tmpl w:val="08B717E1"/>
    <w:lvl w:ilvl="0" w:tentative="0">
      <w:start w:val="1"/>
      <w:numFmt w:val="decimal"/>
      <w:lvlText w:val="第%1章 "/>
      <w:lvlJc w:val="left"/>
      <w:pPr>
        <w:tabs>
          <w:tab w:val="left" w:pos="1080"/>
        </w:tabs>
        <w:ind w:left="420" w:hanging="420"/>
      </w:pPr>
      <w:rPr>
        <w:rFonts w:hint="default" w:cs="Times New Roman"/>
      </w:rPr>
    </w:lvl>
    <w:lvl w:ilvl="1" w:tentative="0">
      <w:start w:val="1"/>
      <w:numFmt w:val="decimal"/>
      <w:lvlText w:val="%1.%2"/>
      <w:lvlJc w:val="left"/>
      <w:pPr>
        <w:tabs>
          <w:tab w:val="left" w:pos="720"/>
        </w:tabs>
      </w:pPr>
      <w:rPr>
        <w:rFonts w:hint="eastAsia" w:cs="Times New Roman"/>
      </w:rPr>
    </w:lvl>
    <w:lvl w:ilvl="2" w:tentative="0">
      <w:start w:val="1"/>
      <w:numFmt w:val="decimal"/>
      <w:lvlText w:val="%1.%2.%3 "/>
      <w:lvlJc w:val="left"/>
      <w:pPr>
        <w:tabs>
          <w:tab w:val="left" w:pos="720"/>
        </w:tabs>
      </w:pPr>
      <w:rPr>
        <w:rFonts w:hint="eastAsia" w:cs="Times New Roman"/>
      </w:rPr>
    </w:lvl>
    <w:lvl w:ilvl="3" w:tentative="0">
      <w:start w:val="1"/>
      <w:numFmt w:val="decimal"/>
      <w:lvlText w:val="%1.%2.%3.%4"/>
      <w:lvlJc w:val="left"/>
      <w:pPr>
        <w:tabs>
          <w:tab w:val="left" w:pos="1080"/>
        </w:tabs>
      </w:pPr>
      <w:rPr>
        <w:rFonts w:hint="eastAsia" w:cs="Times New Roman"/>
      </w:rPr>
    </w:lvl>
    <w:lvl w:ilvl="4" w:tentative="0">
      <w:start w:val="1"/>
      <w:numFmt w:val="decimal"/>
      <w:pStyle w:val="25"/>
      <w:lvlText w:val="%5)"/>
      <w:lvlJc w:val="left"/>
      <w:pPr>
        <w:tabs>
          <w:tab w:val="left" w:pos="420"/>
        </w:tabs>
        <w:ind w:left="420" w:hanging="420"/>
      </w:pPr>
      <w:rPr>
        <w:rFonts w:hint="default"/>
      </w:rPr>
    </w:lvl>
    <w:lvl w:ilvl="5" w:tentative="0">
      <w:start w:val="1"/>
      <w:numFmt w:val="decimal"/>
      <w:lvlText w:val="（%6）"/>
      <w:lvlJc w:val="left"/>
      <w:pPr>
        <w:tabs>
          <w:tab w:val="left" w:pos="720"/>
        </w:tabs>
      </w:pPr>
      <w:rPr>
        <w:rFonts w:hint="default" w:ascii="Arial" w:hAnsi="Arial" w:eastAsia="宋体" w:cs="Times New Roman"/>
        <w:sz w:val="21"/>
      </w:rPr>
    </w:lvl>
    <w:lvl w:ilvl="6" w:tentative="0">
      <w:start w:val="1"/>
      <w:numFmt w:val="decimal"/>
      <w:lvlText w:val="  %7）"/>
      <w:lvlJc w:val="left"/>
      <w:pPr>
        <w:tabs>
          <w:tab w:val="left" w:pos="720"/>
        </w:tabs>
      </w:pPr>
      <w:rPr>
        <w:rFonts w:hint="eastAsia" w:cs="Times New Roman"/>
      </w:rPr>
    </w:lvl>
    <w:lvl w:ilvl="7" w:tentative="0">
      <w:start w:val="1"/>
      <w:numFmt w:val="none"/>
      <w:lvlRestart w:val="0"/>
      <w:lvlText w:val=""/>
      <w:lvlJc w:val="left"/>
      <w:pPr>
        <w:tabs>
          <w:tab w:val="left" w:pos="360"/>
        </w:tabs>
      </w:pPr>
      <w:rPr>
        <w:rFonts w:hint="eastAsia" w:cs="Times New Roman"/>
      </w:rPr>
    </w:lvl>
    <w:lvl w:ilvl="8" w:tentative="0">
      <w:start w:val="1"/>
      <w:numFmt w:val="decimal"/>
      <w:lvlRestart w:val="0"/>
      <w:lvlText w:val="图 %1—%9  "/>
      <w:lvlJc w:val="center"/>
      <w:pPr>
        <w:tabs>
          <w:tab w:val="left" w:pos="360"/>
        </w:tabs>
      </w:pPr>
      <w:rPr>
        <w:rFonts w:hint="default" w:ascii="Arial" w:hAnsi="Arial" w:eastAsia="黑体" w:cs="Times New Roman"/>
        <w:sz w:val="18"/>
      </w:rPr>
    </w:lvl>
  </w:abstractNum>
  <w:abstractNum w:abstractNumId="3">
    <w:nsid w:val="229A1D3D"/>
    <w:multiLevelType w:val="multilevel"/>
    <w:tmpl w:val="229A1D3D"/>
    <w:lvl w:ilvl="0" w:tentative="0">
      <w:start w:val="1"/>
      <w:numFmt w:val="decimal"/>
      <w:lvlText w:val="%1、"/>
      <w:lvlJc w:val="left"/>
      <w:pPr>
        <w:ind w:left="360" w:hanging="360"/>
      </w:pPr>
      <w:rPr>
        <w:rFonts w:hint="default" w:cs="Times New Roman"/>
      </w:rPr>
    </w:lvl>
    <w:lvl w:ilvl="1" w:tentative="0">
      <w:start w:val="2"/>
      <w:numFmt w:val="japaneseCounting"/>
      <w:lvlText w:val="%2、"/>
      <w:lvlJc w:val="left"/>
      <w:pPr>
        <w:ind w:left="840" w:hanging="420"/>
      </w:pPr>
      <w:rPr>
        <w:rFonts w:hint="default"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abstractNum w:abstractNumId="4">
    <w:nsid w:val="525B30EF"/>
    <w:multiLevelType w:val="multilevel"/>
    <w:tmpl w:val="525B30EF"/>
    <w:lvl w:ilvl="0" w:tentative="0">
      <w:start w:val="1"/>
      <w:numFmt w:val="japaneseCounting"/>
      <w:lvlText w:val="%1、"/>
      <w:lvlJc w:val="left"/>
      <w:pPr>
        <w:tabs>
          <w:tab w:val="left" w:pos="1121"/>
        </w:tabs>
        <w:ind w:left="1121" w:hanging="570"/>
      </w:pPr>
      <w:rPr>
        <w:rFonts w:hint="default" w:cs="Times New Roman"/>
        <w:sz w:val="28"/>
      </w:rPr>
    </w:lvl>
    <w:lvl w:ilvl="1" w:tentative="0">
      <w:start w:val="1"/>
      <w:numFmt w:val="lowerLetter"/>
      <w:lvlText w:val="%2)"/>
      <w:lvlJc w:val="left"/>
      <w:pPr>
        <w:tabs>
          <w:tab w:val="left" w:pos="1391"/>
        </w:tabs>
        <w:ind w:left="1391" w:hanging="420"/>
      </w:pPr>
      <w:rPr>
        <w:rFonts w:cs="Times New Roman"/>
      </w:rPr>
    </w:lvl>
    <w:lvl w:ilvl="2" w:tentative="0">
      <w:start w:val="1"/>
      <w:numFmt w:val="lowerRoman"/>
      <w:lvlText w:val="%3."/>
      <w:lvlJc w:val="right"/>
      <w:pPr>
        <w:tabs>
          <w:tab w:val="left" w:pos="1811"/>
        </w:tabs>
        <w:ind w:left="1811" w:hanging="420"/>
      </w:pPr>
      <w:rPr>
        <w:rFonts w:cs="Times New Roman"/>
      </w:rPr>
    </w:lvl>
    <w:lvl w:ilvl="3" w:tentative="0">
      <w:start w:val="1"/>
      <w:numFmt w:val="decimal"/>
      <w:lvlText w:val="%4."/>
      <w:lvlJc w:val="left"/>
      <w:pPr>
        <w:tabs>
          <w:tab w:val="left" w:pos="2231"/>
        </w:tabs>
        <w:ind w:left="2231" w:hanging="420"/>
      </w:pPr>
      <w:rPr>
        <w:rFonts w:cs="Times New Roman"/>
      </w:rPr>
    </w:lvl>
    <w:lvl w:ilvl="4" w:tentative="0">
      <w:start w:val="1"/>
      <w:numFmt w:val="lowerLetter"/>
      <w:lvlText w:val="%5)"/>
      <w:lvlJc w:val="left"/>
      <w:pPr>
        <w:tabs>
          <w:tab w:val="left" w:pos="2651"/>
        </w:tabs>
        <w:ind w:left="2651" w:hanging="420"/>
      </w:pPr>
      <w:rPr>
        <w:rFonts w:cs="Times New Roman"/>
      </w:rPr>
    </w:lvl>
    <w:lvl w:ilvl="5" w:tentative="0">
      <w:start w:val="1"/>
      <w:numFmt w:val="lowerRoman"/>
      <w:lvlText w:val="%6."/>
      <w:lvlJc w:val="right"/>
      <w:pPr>
        <w:tabs>
          <w:tab w:val="left" w:pos="3071"/>
        </w:tabs>
        <w:ind w:left="3071" w:hanging="420"/>
      </w:pPr>
      <w:rPr>
        <w:rFonts w:cs="Times New Roman"/>
      </w:rPr>
    </w:lvl>
    <w:lvl w:ilvl="6" w:tentative="0">
      <w:start w:val="1"/>
      <w:numFmt w:val="decimal"/>
      <w:lvlText w:val="%7."/>
      <w:lvlJc w:val="left"/>
      <w:pPr>
        <w:tabs>
          <w:tab w:val="left" w:pos="3491"/>
        </w:tabs>
        <w:ind w:left="3491" w:hanging="420"/>
      </w:pPr>
      <w:rPr>
        <w:rFonts w:cs="Times New Roman"/>
      </w:rPr>
    </w:lvl>
    <w:lvl w:ilvl="7" w:tentative="0">
      <w:start w:val="1"/>
      <w:numFmt w:val="lowerLetter"/>
      <w:lvlText w:val="%8)"/>
      <w:lvlJc w:val="left"/>
      <w:pPr>
        <w:tabs>
          <w:tab w:val="left" w:pos="3911"/>
        </w:tabs>
        <w:ind w:left="3911" w:hanging="420"/>
      </w:pPr>
      <w:rPr>
        <w:rFonts w:cs="Times New Roman"/>
      </w:rPr>
    </w:lvl>
    <w:lvl w:ilvl="8" w:tentative="0">
      <w:start w:val="1"/>
      <w:numFmt w:val="lowerRoman"/>
      <w:lvlText w:val="%9."/>
      <w:lvlJc w:val="right"/>
      <w:pPr>
        <w:tabs>
          <w:tab w:val="left" w:pos="4331"/>
        </w:tabs>
        <w:ind w:left="4331" w:hanging="420"/>
      </w:pPr>
      <w:rPr>
        <w:rFonts w:cs="Times New Roman"/>
      </w:rPr>
    </w:lvl>
  </w:abstractNum>
  <w:num w:numId="1">
    <w:abstractNumId w:val="2"/>
  </w:num>
  <w:num w:numId="2">
    <w:abstractNumId w:val="1"/>
  </w:num>
  <w:num w:numId="3">
    <w:abstractNumId w:val="4"/>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NotTrackMoves/>
  <w:documentProtection w:enforcement="0"/>
  <w:defaultTabStop w:val="420"/>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ZDYxMGJhNDRmYWI3YTAxNjQyMTZhOWFkOTIxMDI4NTMifQ=="/>
  </w:docVars>
  <w:rsids>
    <w:rsidRoot w:val="00AA40E6"/>
    <w:rsid w:val="00050AD9"/>
    <w:rsid w:val="000B1CAA"/>
    <w:rsid w:val="000D4A72"/>
    <w:rsid w:val="000D4B29"/>
    <w:rsid w:val="001419AE"/>
    <w:rsid w:val="00157590"/>
    <w:rsid w:val="00176C72"/>
    <w:rsid w:val="00190964"/>
    <w:rsid w:val="00216BE5"/>
    <w:rsid w:val="00222F36"/>
    <w:rsid w:val="002240A5"/>
    <w:rsid w:val="00271708"/>
    <w:rsid w:val="00286DE9"/>
    <w:rsid w:val="002F49F5"/>
    <w:rsid w:val="00305DFB"/>
    <w:rsid w:val="003437F7"/>
    <w:rsid w:val="00397A02"/>
    <w:rsid w:val="00420E02"/>
    <w:rsid w:val="00485ECD"/>
    <w:rsid w:val="00487106"/>
    <w:rsid w:val="004B22A0"/>
    <w:rsid w:val="004F7CFC"/>
    <w:rsid w:val="00536D64"/>
    <w:rsid w:val="0054018E"/>
    <w:rsid w:val="0056460A"/>
    <w:rsid w:val="0057212D"/>
    <w:rsid w:val="005F101D"/>
    <w:rsid w:val="00681FAA"/>
    <w:rsid w:val="006F28FF"/>
    <w:rsid w:val="007944C7"/>
    <w:rsid w:val="007C18AB"/>
    <w:rsid w:val="007D05D1"/>
    <w:rsid w:val="00802C98"/>
    <w:rsid w:val="00805BE3"/>
    <w:rsid w:val="00874561"/>
    <w:rsid w:val="00874F8A"/>
    <w:rsid w:val="00894A8C"/>
    <w:rsid w:val="008B0F35"/>
    <w:rsid w:val="008C2E57"/>
    <w:rsid w:val="008C6C69"/>
    <w:rsid w:val="008E23A3"/>
    <w:rsid w:val="0093603C"/>
    <w:rsid w:val="00942C0A"/>
    <w:rsid w:val="009543D3"/>
    <w:rsid w:val="00970C10"/>
    <w:rsid w:val="00973A04"/>
    <w:rsid w:val="009A5EA2"/>
    <w:rsid w:val="009A7CFF"/>
    <w:rsid w:val="009B677F"/>
    <w:rsid w:val="00A06BFE"/>
    <w:rsid w:val="00A2372D"/>
    <w:rsid w:val="00A3106D"/>
    <w:rsid w:val="00A33DC5"/>
    <w:rsid w:val="00A46E5F"/>
    <w:rsid w:val="00A620AD"/>
    <w:rsid w:val="00A87389"/>
    <w:rsid w:val="00AA40E6"/>
    <w:rsid w:val="00AB2E46"/>
    <w:rsid w:val="00AE63E8"/>
    <w:rsid w:val="00B12E5E"/>
    <w:rsid w:val="00B132DF"/>
    <w:rsid w:val="00BF6E54"/>
    <w:rsid w:val="00C433A3"/>
    <w:rsid w:val="00C60837"/>
    <w:rsid w:val="00CC4E16"/>
    <w:rsid w:val="00DF6983"/>
    <w:rsid w:val="00E02D7A"/>
    <w:rsid w:val="00E160F6"/>
    <w:rsid w:val="00E725A5"/>
    <w:rsid w:val="00ED0B77"/>
    <w:rsid w:val="00EE602E"/>
    <w:rsid w:val="00EF1A69"/>
    <w:rsid w:val="00F00D37"/>
    <w:rsid w:val="00F43117"/>
    <w:rsid w:val="00F75411"/>
    <w:rsid w:val="00F83318"/>
    <w:rsid w:val="00F85974"/>
    <w:rsid w:val="00F91C54"/>
    <w:rsid w:val="00FA44C2"/>
    <w:rsid w:val="00FA7ADA"/>
    <w:rsid w:val="015431CF"/>
    <w:rsid w:val="01B17C3E"/>
    <w:rsid w:val="04C966DD"/>
    <w:rsid w:val="05D30504"/>
    <w:rsid w:val="099F7286"/>
    <w:rsid w:val="0B515F38"/>
    <w:rsid w:val="18625E84"/>
    <w:rsid w:val="18CE0334"/>
    <w:rsid w:val="1B1A7920"/>
    <w:rsid w:val="1F4337F9"/>
    <w:rsid w:val="22FC0839"/>
    <w:rsid w:val="25BB6E4E"/>
    <w:rsid w:val="25EF371D"/>
    <w:rsid w:val="262E0D59"/>
    <w:rsid w:val="2B8A0790"/>
    <w:rsid w:val="30EF350E"/>
    <w:rsid w:val="3278465D"/>
    <w:rsid w:val="359468F2"/>
    <w:rsid w:val="36A9743F"/>
    <w:rsid w:val="37615958"/>
    <w:rsid w:val="3A2B713F"/>
    <w:rsid w:val="3EE174DC"/>
    <w:rsid w:val="405D64BF"/>
    <w:rsid w:val="43197F53"/>
    <w:rsid w:val="44146D3B"/>
    <w:rsid w:val="44A75520"/>
    <w:rsid w:val="44A92F8C"/>
    <w:rsid w:val="4520256B"/>
    <w:rsid w:val="475B373A"/>
    <w:rsid w:val="489354A0"/>
    <w:rsid w:val="497B7D73"/>
    <w:rsid w:val="4EF664DD"/>
    <w:rsid w:val="4F1155D0"/>
    <w:rsid w:val="53352154"/>
    <w:rsid w:val="556610C3"/>
    <w:rsid w:val="57E81A5B"/>
    <w:rsid w:val="58F243C6"/>
    <w:rsid w:val="59DA6B73"/>
    <w:rsid w:val="5A66661F"/>
    <w:rsid w:val="5A82661E"/>
    <w:rsid w:val="5ABE2817"/>
    <w:rsid w:val="5B1A15C0"/>
    <w:rsid w:val="600623EB"/>
    <w:rsid w:val="63A72E86"/>
    <w:rsid w:val="65F60CB6"/>
    <w:rsid w:val="67251B07"/>
    <w:rsid w:val="68DC13A2"/>
    <w:rsid w:val="69561038"/>
    <w:rsid w:val="6B926D5C"/>
    <w:rsid w:val="6BDC18B1"/>
    <w:rsid w:val="6C683096"/>
    <w:rsid w:val="6C9F6633"/>
    <w:rsid w:val="6CEA1B71"/>
    <w:rsid w:val="6F1B184C"/>
    <w:rsid w:val="727C763A"/>
    <w:rsid w:val="729C351D"/>
    <w:rsid w:val="7305148D"/>
    <w:rsid w:val="758B02BC"/>
    <w:rsid w:val="77FB6BB2"/>
    <w:rsid w:val="78275C7B"/>
    <w:rsid w:val="790E7D77"/>
    <w:rsid w:val="7A5A33C8"/>
    <w:rsid w:val="7ACF31E3"/>
    <w:rsid w:val="7BE32A41"/>
    <w:rsid w:val="7D376AFA"/>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qFormat="1" w:unhideWhenUsed="0"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99" w:semiHidden="0" w:name="Strong"/>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2"/>
      <w:lang w:val="en-US" w:eastAsia="zh-CN" w:bidi="ar-SA"/>
    </w:rPr>
  </w:style>
  <w:style w:type="paragraph" w:styleId="4">
    <w:name w:val="heading 1"/>
    <w:basedOn w:val="1"/>
    <w:next w:val="1"/>
    <w:link w:val="16"/>
    <w:qFormat/>
    <w:uiPriority w:val="99"/>
    <w:pPr>
      <w:keepNext/>
      <w:keepLines/>
      <w:spacing w:before="340" w:after="330" w:line="576" w:lineRule="auto"/>
      <w:outlineLvl w:val="0"/>
    </w:pPr>
    <w:rPr>
      <w:rFonts w:ascii="Times New Roman" w:hAnsi="Times New Roman"/>
      <w:b/>
      <w:kern w:val="44"/>
      <w:sz w:val="44"/>
      <w:szCs w:val="20"/>
    </w:rPr>
  </w:style>
  <w:style w:type="paragraph" w:styleId="5">
    <w:name w:val="heading 2"/>
    <w:basedOn w:val="1"/>
    <w:next w:val="1"/>
    <w:link w:val="17"/>
    <w:qFormat/>
    <w:uiPriority w:val="99"/>
    <w:pPr>
      <w:keepNext/>
      <w:keepLines/>
      <w:spacing w:before="260" w:after="260" w:line="413" w:lineRule="auto"/>
      <w:outlineLvl w:val="1"/>
    </w:pPr>
    <w:rPr>
      <w:rFonts w:ascii="Arial" w:hAnsi="Arial" w:eastAsia="黑体"/>
      <w:b/>
      <w:kern w:val="0"/>
      <w:sz w:val="32"/>
      <w:szCs w:val="20"/>
    </w:rPr>
  </w:style>
  <w:style w:type="paragraph" w:styleId="6">
    <w:name w:val="heading 3"/>
    <w:basedOn w:val="1"/>
    <w:next w:val="1"/>
    <w:link w:val="18"/>
    <w:qFormat/>
    <w:uiPriority w:val="99"/>
    <w:pPr>
      <w:keepNext/>
      <w:keepLines/>
      <w:spacing w:before="260" w:after="260" w:line="413" w:lineRule="auto"/>
      <w:outlineLvl w:val="2"/>
    </w:pPr>
    <w:rPr>
      <w:rFonts w:ascii="Times New Roman" w:hAnsi="Times New Roman"/>
      <w:b/>
      <w:kern w:val="0"/>
      <w:sz w:val="32"/>
      <w:szCs w:val="20"/>
    </w:rPr>
  </w:style>
  <w:style w:type="paragraph" w:styleId="7">
    <w:name w:val="heading 4"/>
    <w:basedOn w:val="1"/>
    <w:next w:val="1"/>
    <w:link w:val="19"/>
    <w:qFormat/>
    <w:uiPriority w:val="99"/>
    <w:pPr>
      <w:keepNext/>
      <w:keepLines/>
      <w:spacing w:before="280" w:after="290" w:line="372" w:lineRule="auto"/>
      <w:outlineLvl w:val="3"/>
    </w:pPr>
    <w:rPr>
      <w:rFonts w:ascii="Arial" w:hAnsi="Arial" w:eastAsia="黑体"/>
      <w:b/>
      <w:sz w:val="28"/>
    </w:rPr>
  </w:style>
  <w:style w:type="character" w:default="1" w:styleId="14">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qFormat/>
    <w:uiPriority w:val="0"/>
    <w:pPr>
      <w:spacing w:line="400" w:lineRule="exact"/>
      <w:ind w:firstLine="480" w:firstLineChars="200"/>
    </w:pPr>
    <w:rPr>
      <w:rFonts w:eastAsia="宋体"/>
    </w:rPr>
  </w:style>
  <w:style w:type="paragraph" w:styleId="3">
    <w:name w:val="Body Text Indent"/>
    <w:basedOn w:val="1"/>
    <w:qFormat/>
    <w:uiPriority w:val="0"/>
    <w:pPr>
      <w:ind w:firstLine="501" w:firstLineChars="179"/>
    </w:pPr>
    <w:rPr>
      <w:sz w:val="28"/>
    </w:rPr>
  </w:style>
  <w:style w:type="paragraph" w:styleId="8">
    <w:name w:val="Body Text"/>
    <w:basedOn w:val="1"/>
    <w:link w:val="20"/>
    <w:qFormat/>
    <w:uiPriority w:val="99"/>
    <w:rPr>
      <w:rFonts w:eastAsia="微软雅黑"/>
      <w:sz w:val="28"/>
      <w:szCs w:val="20"/>
    </w:rPr>
  </w:style>
  <w:style w:type="paragraph" w:styleId="9">
    <w:name w:val="Date"/>
    <w:basedOn w:val="1"/>
    <w:next w:val="1"/>
    <w:link w:val="21"/>
    <w:semiHidden/>
    <w:qFormat/>
    <w:uiPriority w:val="99"/>
    <w:pPr>
      <w:ind w:left="100" w:leftChars="2500"/>
    </w:pPr>
  </w:style>
  <w:style w:type="paragraph" w:styleId="10">
    <w:name w:val="footer"/>
    <w:basedOn w:val="1"/>
    <w:link w:val="22"/>
    <w:qFormat/>
    <w:uiPriority w:val="99"/>
    <w:pPr>
      <w:tabs>
        <w:tab w:val="center" w:pos="4153"/>
        <w:tab w:val="right" w:pos="8306"/>
      </w:tabs>
      <w:snapToGrid w:val="0"/>
      <w:jc w:val="left"/>
    </w:pPr>
    <w:rPr>
      <w:sz w:val="18"/>
      <w:szCs w:val="18"/>
    </w:rPr>
  </w:style>
  <w:style w:type="paragraph" w:styleId="11">
    <w:name w:val="header"/>
    <w:basedOn w:val="1"/>
    <w:link w:val="23"/>
    <w:qFormat/>
    <w:uiPriority w:val="99"/>
    <w:pPr>
      <w:pBdr>
        <w:bottom w:val="single" w:color="auto" w:sz="6" w:space="1"/>
      </w:pBdr>
      <w:tabs>
        <w:tab w:val="center" w:pos="4153"/>
        <w:tab w:val="right" w:pos="8306"/>
      </w:tabs>
      <w:snapToGrid w:val="0"/>
      <w:jc w:val="center"/>
    </w:pPr>
    <w:rPr>
      <w:rFonts w:ascii="Times New Roman" w:hAnsi="Times New Roman"/>
      <w:sz w:val="18"/>
      <w:szCs w:val="18"/>
    </w:rPr>
  </w:style>
  <w:style w:type="paragraph" w:styleId="12">
    <w:name w:val="Title"/>
    <w:basedOn w:val="1"/>
    <w:next w:val="1"/>
    <w:link w:val="24"/>
    <w:qFormat/>
    <w:uiPriority w:val="99"/>
    <w:pPr>
      <w:spacing w:before="240" w:after="60"/>
      <w:jc w:val="center"/>
      <w:outlineLvl w:val="0"/>
    </w:pPr>
    <w:rPr>
      <w:rFonts w:ascii="Cambria" w:hAnsi="Cambria"/>
      <w:b/>
      <w:bCs/>
      <w:kern w:val="0"/>
      <w:sz w:val="32"/>
      <w:szCs w:val="32"/>
    </w:rPr>
  </w:style>
  <w:style w:type="character" w:styleId="15">
    <w:name w:val="Strong"/>
    <w:qFormat/>
    <w:uiPriority w:val="99"/>
    <w:rPr>
      <w:rFonts w:cs="Times New Roman"/>
      <w:b/>
    </w:rPr>
  </w:style>
  <w:style w:type="character" w:customStyle="1" w:styleId="16">
    <w:name w:val="标题 1 字符"/>
    <w:link w:val="4"/>
    <w:qFormat/>
    <w:locked/>
    <w:uiPriority w:val="99"/>
    <w:rPr>
      <w:rFonts w:cs="Times New Roman"/>
      <w:b/>
      <w:kern w:val="44"/>
      <w:sz w:val="44"/>
    </w:rPr>
  </w:style>
  <w:style w:type="character" w:customStyle="1" w:styleId="17">
    <w:name w:val="标题 2 字符"/>
    <w:link w:val="5"/>
    <w:qFormat/>
    <w:locked/>
    <w:uiPriority w:val="99"/>
    <w:rPr>
      <w:rFonts w:ascii="Arial" w:hAnsi="Arial" w:eastAsia="黑体" w:cs="Times New Roman"/>
      <w:b/>
      <w:sz w:val="32"/>
    </w:rPr>
  </w:style>
  <w:style w:type="character" w:customStyle="1" w:styleId="18">
    <w:name w:val="标题 3 字符"/>
    <w:link w:val="6"/>
    <w:qFormat/>
    <w:locked/>
    <w:uiPriority w:val="99"/>
    <w:rPr>
      <w:rFonts w:cs="Times New Roman"/>
      <w:b/>
      <w:sz w:val="32"/>
    </w:rPr>
  </w:style>
  <w:style w:type="character" w:customStyle="1" w:styleId="19">
    <w:name w:val="标题 4 字符"/>
    <w:link w:val="7"/>
    <w:semiHidden/>
    <w:qFormat/>
    <w:locked/>
    <w:uiPriority w:val="99"/>
    <w:rPr>
      <w:rFonts w:ascii="Cambria" w:hAnsi="Cambria" w:eastAsia="宋体" w:cs="Times New Roman"/>
      <w:b/>
      <w:bCs/>
      <w:sz w:val="28"/>
      <w:szCs w:val="28"/>
    </w:rPr>
  </w:style>
  <w:style w:type="character" w:customStyle="1" w:styleId="20">
    <w:name w:val="正文文本 字符"/>
    <w:link w:val="8"/>
    <w:semiHidden/>
    <w:qFormat/>
    <w:locked/>
    <w:uiPriority w:val="99"/>
    <w:rPr>
      <w:rFonts w:ascii="Calibri" w:hAnsi="Calibri" w:cs="Times New Roman"/>
    </w:rPr>
  </w:style>
  <w:style w:type="character" w:customStyle="1" w:styleId="21">
    <w:name w:val="日期 字符"/>
    <w:link w:val="9"/>
    <w:semiHidden/>
    <w:qFormat/>
    <w:locked/>
    <w:uiPriority w:val="99"/>
    <w:rPr>
      <w:rFonts w:cs="Times New Roman"/>
    </w:rPr>
  </w:style>
  <w:style w:type="character" w:customStyle="1" w:styleId="22">
    <w:name w:val="页脚 字符"/>
    <w:link w:val="10"/>
    <w:qFormat/>
    <w:locked/>
    <w:uiPriority w:val="99"/>
    <w:rPr>
      <w:rFonts w:cs="Times New Roman"/>
      <w:sz w:val="18"/>
      <w:szCs w:val="18"/>
    </w:rPr>
  </w:style>
  <w:style w:type="character" w:customStyle="1" w:styleId="23">
    <w:name w:val="页眉 字符"/>
    <w:link w:val="11"/>
    <w:qFormat/>
    <w:locked/>
    <w:uiPriority w:val="99"/>
    <w:rPr>
      <w:rFonts w:ascii="Times New Roman" w:hAnsi="Times New Roman" w:eastAsia="宋体" w:cs="Times New Roman"/>
      <w:sz w:val="18"/>
      <w:szCs w:val="18"/>
    </w:rPr>
  </w:style>
  <w:style w:type="character" w:customStyle="1" w:styleId="24">
    <w:name w:val="标题 字符"/>
    <w:link w:val="12"/>
    <w:qFormat/>
    <w:locked/>
    <w:uiPriority w:val="99"/>
    <w:rPr>
      <w:rFonts w:ascii="Cambria" w:hAnsi="Cambria" w:eastAsia="宋体" w:cs="Times New Roman"/>
      <w:b/>
      <w:bCs/>
      <w:kern w:val="0"/>
      <w:sz w:val="32"/>
      <w:szCs w:val="32"/>
    </w:rPr>
  </w:style>
  <w:style w:type="paragraph" w:customStyle="1" w:styleId="25">
    <w:name w:val="F5"/>
    <w:basedOn w:val="4"/>
    <w:next w:val="26"/>
    <w:qFormat/>
    <w:uiPriority w:val="0"/>
    <w:pPr>
      <w:numPr>
        <w:ilvl w:val="4"/>
        <w:numId w:val="1"/>
      </w:numPr>
      <w:tabs>
        <w:tab w:val="left" w:pos="2580"/>
        <w:tab w:val="clear" w:pos="420"/>
      </w:tabs>
      <w:spacing w:before="60" w:after="60" w:line="240" w:lineRule="auto"/>
      <w:ind w:left="2580"/>
      <w:jc w:val="left"/>
      <w:outlineLvl w:val="4"/>
    </w:pPr>
    <w:rPr>
      <w:rFonts w:eastAsia="华文中宋"/>
      <w:sz w:val="24"/>
      <w:szCs w:val="21"/>
    </w:rPr>
  </w:style>
  <w:style w:type="paragraph" w:customStyle="1" w:styleId="26">
    <w:name w:val="F正文"/>
    <w:basedOn w:val="1"/>
    <w:qFormat/>
    <w:uiPriority w:val="0"/>
    <w:pPr>
      <w:spacing w:before="60" w:after="60" w:line="264" w:lineRule="auto"/>
    </w:pPr>
    <w:rPr>
      <w:rFonts w:ascii="宋体" w:hAnsi="Microsoft Sans Serif"/>
      <w:bCs/>
      <w:sz w:val="18"/>
      <w:szCs w:val="21"/>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jpe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2051"/>
    <customShpInfo spid="_x0000_s205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个人用户</Company>
  <Pages>23</Pages>
  <Words>8080</Words>
  <Characters>8326</Characters>
  <Lines>15</Lines>
  <Paragraphs>4</Paragraphs>
  <TotalTime>0</TotalTime>
  <ScaleCrop>false</ScaleCrop>
  <LinksUpToDate>false</LinksUpToDate>
  <CharactersWithSpaces>8500</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2022-09-11T09:38:00Z</dcterms:created>
  <dc:creator>HASEE</dc:creator>
  <cp:lastModifiedBy>王先帅</cp:lastModifiedBy>
  <dcterms:modified xsi:type="dcterms:W3CDTF">2025-05-27T09:05:33Z</dcterms:modified>
  <dc:title>                     </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B88184B8E5F0467EAEC58821DA6FE690</vt:lpwstr>
  </property>
  <property fmtid="{D5CDD505-2E9C-101B-9397-08002B2CF9AE}" pid="4" name="KSOTemplateDocerSaveRecord">
    <vt:lpwstr>eyJoZGlkIjoiNzEwODg2ZjliZGNmOWRiNTM3YTQ5MDE4NzI5Y2VmM2IiLCJ1c2VySWQiOiI0MDM0NDIxMzIifQ==</vt:lpwstr>
  </property>
</Properties>
</file>