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15F8C">
      <w:pPr>
        <w:bidi w:val="0"/>
      </w:pPr>
      <w:bookmarkStart w:id="0" w:name="_Toc111197169"/>
      <w:bookmarkStart w:id="1" w:name="_Hlk32328745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7330440</wp:posOffset>
                </wp:positionV>
                <wp:extent cx="4743450" cy="648335"/>
                <wp:effectExtent l="0" t="0" r="0" b="317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3450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65258C0">
                            <w:pPr>
                              <w:spacing w:before="156" w:beforeLines="50" w:after="156" w:afterLines="50"/>
                              <w:jc w:val="center"/>
                              <w:rPr>
                                <w:rFonts w:ascii="黑体" w:hAnsi="微软雅黑" w:eastAsia="黑体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微软雅黑" w:eastAsia="黑体"/>
                                <w:b/>
                                <w:sz w:val="32"/>
                                <w:szCs w:val="32"/>
                              </w:rPr>
                              <w:t xml:space="preserve">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pt;margin-top:577.2pt;height:51.05pt;width:373.5pt;z-index:251660288;mso-width-relative:page;mso-height-relative:page;" filled="f" stroked="f" coordsize="21600,21600" o:gfxdata="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A+UIbYAAAADAEAAA8A&#10;AAAAAAAAAQAgAAAAIgAAAGRycy9kb3ducmV2LnhtbFBLAQIUABQAAAAIAIdO4kDxfzrRFwIAABcE&#10;AAAOAAAAAAAAAAEAIAAAACcBAABkcnMvZTJvRG9jLnhtbFBLBQYAAAAABgAGAFkBAACw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65258C0">
                      <w:pPr>
                        <w:spacing w:before="156" w:beforeLines="50" w:after="156" w:afterLines="50"/>
                        <w:jc w:val="center"/>
                        <w:rPr>
                          <w:rFonts w:ascii="黑体" w:hAnsi="微软雅黑" w:eastAsia="黑体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黑体" w:hAnsi="微软雅黑" w:eastAsia="黑体"/>
                          <w:b/>
                          <w:sz w:val="32"/>
                          <w:szCs w:val="32"/>
                        </w:rPr>
                        <w:t xml:space="preserve">         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 w14:paraId="1E17669B">
      <w:pPr>
        <w:spacing w:before="156" w:beforeLines="50" w:after="156" w:afterLines="50"/>
        <w:rPr>
          <w:rFonts w:hint="eastAsia" w:ascii="黑体" w:hAnsi="黑体" w:eastAsia="宋体" w:cs="Calibri"/>
          <w:b/>
          <w:bCs/>
          <w:sz w:val="52"/>
          <w:szCs w:val="52"/>
          <w:lang w:eastAsia="zh-C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449580</wp:posOffset>
            </wp:positionH>
            <wp:positionV relativeFrom="paragraph">
              <wp:posOffset>4960620</wp:posOffset>
            </wp:positionV>
            <wp:extent cx="1530985" cy="1707515"/>
            <wp:effectExtent l="0" t="0" r="8255" b="14605"/>
            <wp:wrapSquare wrapText="bothSides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rcRect t="3896"/>
                    <a:stretch>
                      <a:fillRect/>
                    </a:stretch>
                  </pic:blipFill>
                  <pic:spPr>
                    <a:xfrm>
                      <a:off x="0" y="0"/>
                      <a:ext cx="1530985" cy="170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3428365</wp:posOffset>
                </wp:positionH>
                <wp:positionV relativeFrom="paragraph">
                  <wp:posOffset>4939030</wp:posOffset>
                </wp:positionV>
                <wp:extent cx="1464945" cy="1771650"/>
                <wp:effectExtent l="0" t="0" r="1905" b="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4945" cy="1771650"/>
                          <a:chOff x="13519" y="9420"/>
                          <a:chExt cx="2307" cy="2790"/>
                        </a:xfrm>
                      </wpg:grpSpPr>
                      <pic:pic xmlns:pic="http://schemas.openxmlformats.org/drawingml/2006/picture">
                        <pic:nvPicPr>
                          <pic:cNvPr id="3" name="图片 3" descr="简介视频-数字政务实验室（公共管理决策仿真系统）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3519" y="9420"/>
                            <a:ext cx="2307" cy="23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文本框 4"/>
                        <wps:cNvSpPr txBox="1"/>
                        <wps:spPr>
                          <a:xfrm>
                            <a:off x="13687" y="11553"/>
                            <a:ext cx="1951" cy="6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AC5F16">
                              <w:pPr>
                                <w:jc w:val="center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  <w:t>观看视频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9.95pt;margin-top:388.9pt;height:139.5pt;width:115.35pt;z-index:251663360;mso-width-relative:page;mso-height-relative:page;" coordorigin="13519,9420" coordsize="2307,2790" o:gfxdata="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">
                <o:lock v:ext="edit" aspectratio="f"/>
                <v:shape id="_x0000_s1026" o:spid="_x0000_s1026" o:spt="75" alt="简介视频-数字政务实验室（公共管理决策仿真系统）" type="#_x0000_t75" style="position:absolute;left:13519;top:9420;height:2307;width:2307;" filled="f" o:preferrelative="t" stroked="f" coordsize="21600,21600" o:gfxdata="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WVUS2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8" o:title=""/>
                  <o:lock v:ext="edit" aspectratio="t"/>
                </v:shape>
                <v:shape id="_x0000_s1026" o:spid="_x0000_s1026" o:spt="202" type="#_x0000_t202" style="position:absolute;left:13687;top:11553;height:657;width:1951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3AAC5F16">
                        <w:pPr>
                          <w:jc w:val="center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  <w:t>观看视频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4994910</wp:posOffset>
                </wp:positionV>
                <wp:extent cx="5278755" cy="363283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8755" cy="3632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A087873"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</w:t>
                            </w:r>
                          </w:p>
                          <w:p w14:paraId="728D0592">
                            <w:pPr>
                              <w:spacing w:line="360" w:lineRule="auto"/>
                              <w:jc w:val="center"/>
                            </w:pPr>
                          </w:p>
                          <w:p w14:paraId="38272769">
                            <w:pPr>
                              <w:pStyle w:val="2"/>
                            </w:pPr>
                          </w:p>
                          <w:p w14:paraId="755154FB"/>
                          <w:p w14:paraId="38729A8C">
                            <w:pPr>
                              <w:pStyle w:val="2"/>
                            </w:pPr>
                          </w:p>
                          <w:p w14:paraId="25B7CEDD"/>
                          <w:p w14:paraId="32F44231">
                            <w:pPr>
                              <w:pStyle w:val="2"/>
                            </w:pPr>
                          </w:p>
                          <w:p w14:paraId="4FF5A1D1"/>
                          <w:p w14:paraId="068C0D94">
                            <w:pPr>
                              <w:pStyle w:val="2"/>
                            </w:pPr>
                          </w:p>
                          <w:p w14:paraId="5EBA80AC"/>
                          <w:p w14:paraId="104809F0">
                            <w:pPr>
                              <w:spacing w:line="360" w:lineRule="auto"/>
                              <w:jc w:val="center"/>
                            </w:pPr>
                          </w:p>
                          <w:p w14:paraId="15C8DF68">
                            <w:pPr>
                              <w:spacing w:line="220" w:lineRule="atLeast"/>
                              <w:jc w:val="center"/>
                              <w:rPr>
                                <w:rFonts w:ascii="黑体" w:hAnsi="黑体" w:eastAsia="黑体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instrText xml:space="preserve">INCLUDEPICTURE \d "D:\\QQ\\Tencent Files\\554354600\\nt_qq\\nt_data\\Pic\\2024-09\\Ori\\f78efc5913b515288639d0fd621a6757.png" \* MERGEFORMATINET </w:instrText>
                            </w: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drawing>
                                <wp:inline distT="0" distB="0" distL="114300" distR="114300">
                                  <wp:extent cx="1915795" cy="339725"/>
                                  <wp:effectExtent l="0" t="0" r="8255" b="3175"/>
                                  <wp:docPr id="8" name="图片 1" descr="IMG_2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图片 1" descr="IMG_25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5795" cy="339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fldChar w:fldCharType="end"/>
                            </w:r>
                            <w:r>
                              <w:rPr>
                                <w:rFonts w:hint="eastAsia" w:ascii="黑体" w:hAnsi="微软雅黑" w:eastAsia="黑体"/>
                                <w:b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黑体" w:hAnsi="黑体" w:eastAsia="黑体"/>
                              </w:rPr>
                              <w:t xml:space="preserve">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1pt;margin-top:393.3pt;height:286.05pt;width:415.65pt;z-index:251662336;mso-width-relative:page;mso-height-relative:page;" filled="f" stroked="f" coordsize="21600,21600" o:gfxdata="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LfQBi2AAA&#10;AAoBAAAPAAAAAAAAAAEAIAAAACIAAABkcnMvZG93bnJldi54bWxQSwECFAAUAAAACACHTuJAU6ew&#10;Cx4CAAAkBAAADgAAAAAAAAABACAAAAAnAQAAZHJzL2Uyb0RvYy54bWxQSwUGAAAAAAYABgBZAQAA&#10;t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A087873"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</w:t>
                      </w:r>
                    </w:p>
                    <w:p w14:paraId="728D0592">
                      <w:pPr>
                        <w:spacing w:line="360" w:lineRule="auto"/>
                        <w:jc w:val="center"/>
                      </w:pPr>
                    </w:p>
                    <w:p w14:paraId="38272769">
                      <w:pPr>
                        <w:pStyle w:val="2"/>
                      </w:pPr>
                    </w:p>
                    <w:p w14:paraId="755154FB"/>
                    <w:p w14:paraId="38729A8C">
                      <w:pPr>
                        <w:pStyle w:val="2"/>
                      </w:pPr>
                    </w:p>
                    <w:p w14:paraId="25B7CEDD"/>
                    <w:p w14:paraId="32F44231">
                      <w:pPr>
                        <w:pStyle w:val="2"/>
                      </w:pPr>
                    </w:p>
                    <w:p w14:paraId="4FF5A1D1"/>
                    <w:p w14:paraId="068C0D94">
                      <w:pPr>
                        <w:pStyle w:val="2"/>
                      </w:pPr>
                    </w:p>
                    <w:p w14:paraId="5EBA80AC"/>
                    <w:p w14:paraId="104809F0">
                      <w:pPr>
                        <w:spacing w:line="360" w:lineRule="auto"/>
                        <w:jc w:val="center"/>
                      </w:pPr>
                    </w:p>
                    <w:p w14:paraId="15C8DF68">
                      <w:pPr>
                        <w:spacing w:line="220" w:lineRule="atLeast"/>
                        <w:jc w:val="center"/>
                        <w:rPr>
                          <w:rFonts w:ascii="黑体" w:hAnsi="黑体" w:eastAsia="黑体"/>
                        </w:rPr>
                      </w:pP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instrText xml:space="preserve">INCLUDEPICTURE \d "D:\\QQ\\Tencent Files\\554354600\\nt_qq\\nt_data\\Pic\\2024-09\\Ori\\f78efc5913b515288639d0fd621a6757.png" \* MERGEFORMATINET </w:instrText>
                      </w: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fldChar w:fldCharType="separate"/>
                      </w: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drawing>
                          <wp:inline distT="0" distB="0" distL="114300" distR="114300">
                            <wp:extent cx="1915795" cy="339725"/>
                            <wp:effectExtent l="0" t="0" r="8255" b="3175"/>
                            <wp:docPr id="8" name="图片 1" descr="IMG_2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图片 1" descr="IMG_25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5795" cy="339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fldChar w:fldCharType="end"/>
                      </w:r>
                      <w:r>
                        <w:rPr>
                          <w:rFonts w:hint="eastAsia" w:ascii="黑体" w:hAnsi="微软雅黑" w:eastAsia="黑体"/>
                          <w:b/>
                          <w:sz w:val="32"/>
                          <w:szCs w:val="32"/>
                        </w:rPr>
                        <w:t xml:space="preserve">     </w:t>
                      </w:r>
                      <w:r>
                        <w:rPr>
                          <w:rFonts w:hint="eastAsia" w:ascii="黑体" w:hAnsi="黑体" w:eastAsia="黑体"/>
                        </w:rPr>
                        <w:t xml:space="preserve">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891540</wp:posOffset>
                </wp:positionV>
                <wp:extent cx="6153150" cy="14452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3150" cy="144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4DDD367">
                            <w:pPr>
                              <w:spacing w:before="156" w:beforeLines="50" w:after="156" w:afterLines="50"/>
                              <w:jc w:val="center"/>
                              <w:rPr>
                                <w:rFonts w:ascii="黑体" w:hAnsi="微软雅黑" w:eastAsia="黑体" w:cs="Calibri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 w:ascii="黑体" w:hAnsi="黑体" w:eastAsia="黑体" w:cs="Calibri"/>
                                <w:b/>
                                <w:bCs/>
                                <w:sz w:val="52"/>
                                <w:szCs w:val="52"/>
                              </w:rPr>
                              <w:t>数字政务实验室（公共管理决策仿真系统）【大赛软件】实训中心建设方案</w:t>
                            </w:r>
                          </w:p>
                          <w:p w14:paraId="5B1F3FB2">
                            <w:pPr>
                              <w:spacing w:before="156" w:beforeLines="50" w:after="156" w:afterLines="50"/>
                              <w:jc w:val="center"/>
                              <w:rPr>
                                <w:rFonts w:ascii="黑体" w:hAnsi="微软雅黑" w:eastAsia="黑体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0B863667">
                            <w:pPr>
                              <w:jc w:val="center"/>
                              <w:rPr>
                                <w:rFonts w:ascii="黑体" w:hAnsi="黑体" w:eastAsia="黑体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6.25pt;margin-top:70.2pt;height:113.8pt;width:484.5pt;z-index:251661312;mso-width-relative:page;mso-height-relative:page;" filled="f" stroked="f" coordsize="21600,21600" o:gfxdata="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5SCky1wAAAAsBAAAPAAAA&#10;AAAAAAEAIAAAACIAAABkcnMvZG93bnJldi54bWxQSwECFAAUAAAACACHTuJAw6ZHCBYCAAAWBAAA&#10;DgAAAAAAAAABACAAAAAmAQAAZHJzL2Uyb0RvYy54bWxQSwUGAAAAAAYABgBZAQAAr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4DDD367">
                      <w:pPr>
                        <w:spacing w:before="156" w:beforeLines="50" w:after="156" w:afterLines="50"/>
                        <w:jc w:val="center"/>
                        <w:rPr>
                          <w:rFonts w:ascii="黑体" w:hAnsi="微软雅黑" w:eastAsia="黑体" w:cs="Calibri"/>
                          <w:b/>
                          <w:bCs/>
                          <w:sz w:val="52"/>
                          <w:szCs w:val="52"/>
                        </w:rPr>
                      </w:pPr>
                      <w:r>
                        <w:rPr>
                          <w:rFonts w:hint="eastAsia" w:ascii="黑体" w:hAnsi="黑体" w:eastAsia="黑体" w:cs="Calibri"/>
                          <w:b/>
                          <w:bCs/>
                          <w:sz w:val="52"/>
                          <w:szCs w:val="52"/>
                        </w:rPr>
                        <w:t>数字政务实验室（公共管理决策仿真系统）【大赛软件】实训中心建设方案</w:t>
                      </w:r>
                    </w:p>
                    <w:p w14:paraId="5B1F3FB2">
                      <w:pPr>
                        <w:spacing w:before="156" w:beforeLines="50" w:after="156" w:afterLines="50"/>
                        <w:jc w:val="center"/>
                        <w:rPr>
                          <w:rFonts w:ascii="黑体" w:hAnsi="微软雅黑" w:eastAsia="黑体"/>
                          <w:b/>
                          <w:sz w:val="52"/>
                          <w:szCs w:val="52"/>
                        </w:rPr>
                      </w:pPr>
                    </w:p>
                    <w:p w14:paraId="0B863667">
                      <w:pPr>
                        <w:jc w:val="center"/>
                        <w:rPr>
                          <w:rFonts w:ascii="黑体" w:hAnsi="黑体" w:eastAsia="黑体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br w:type="page"/>
      </w:r>
      <w:bookmarkEnd w:id="1"/>
    </w:p>
    <w:p w14:paraId="2BF862AD">
      <w:pPr>
        <w:spacing w:line="360" w:lineRule="auto"/>
        <w:jc w:val="center"/>
        <w:rPr>
          <w:rFonts w:ascii="黑体" w:hAnsi="黑体" w:eastAsia="黑体" w:cs="Calibri"/>
          <w:sz w:val="32"/>
          <w:szCs w:val="32"/>
        </w:rPr>
      </w:pPr>
      <w:r>
        <w:rPr>
          <w:rFonts w:hint="eastAsia" w:ascii="黑体" w:hAnsi="黑体" w:eastAsia="黑体" w:cs="Calibri"/>
          <w:sz w:val="32"/>
          <w:szCs w:val="32"/>
        </w:rPr>
        <w:t>目</w:t>
      </w:r>
      <w:r>
        <w:rPr>
          <w:rFonts w:ascii="黑体" w:hAnsi="黑体" w:eastAsia="黑体" w:cs="Calibri"/>
          <w:sz w:val="32"/>
          <w:szCs w:val="32"/>
        </w:rPr>
        <w:t xml:space="preserve">   </w:t>
      </w:r>
      <w:r>
        <w:rPr>
          <w:rFonts w:hint="eastAsia" w:ascii="黑体" w:hAnsi="黑体" w:eastAsia="黑体" w:cs="Calibri"/>
          <w:sz w:val="32"/>
          <w:szCs w:val="32"/>
        </w:rPr>
        <w:t>录</w:t>
      </w:r>
      <w:r>
        <w:rPr>
          <w:rFonts w:cs="Calibri" w:asciiTheme="minorEastAsia" w:hAnsiTheme="minorEastAsia" w:eastAsiaTheme="minorEastAsia"/>
          <w:b/>
          <w:bCs/>
          <w:caps/>
          <w:sz w:val="24"/>
          <w:szCs w:val="24"/>
        </w:rPr>
        <w:fldChar w:fldCharType="begin"/>
      </w:r>
      <w:r>
        <w:rPr>
          <w:rFonts w:asciiTheme="minorEastAsia" w:hAnsiTheme="minorEastAsia" w:eastAsiaTheme="minorEastAsia"/>
          <w:sz w:val="24"/>
          <w:szCs w:val="24"/>
        </w:rPr>
        <w:instrText xml:space="preserve"> TOC \o "1-3" \h \z \u </w:instrText>
      </w:r>
      <w:r>
        <w:rPr>
          <w:rFonts w:cs="Calibri" w:asciiTheme="minorEastAsia" w:hAnsiTheme="minorEastAsia" w:eastAsiaTheme="minorEastAsia"/>
          <w:b/>
          <w:bCs/>
          <w:caps/>
          <w:sz w:val="24"/>
          <w:szCs w:val="24"/>
        </w:rPr>
        <w:fldChar w:fldCharType="separate"/>
      </w:r>
    </w:p>
    <w:p w14:paraId="52BD2B94">
      <w:pPr>
        <w:pStyle w:val="17"/>
        <w:tabs>
          <w:tab w:val="right" w:leader="middleDot" w:pos="8296"/>
        </w:tabs>
        <w:spacing w:line="360" w:lineRule="auto"/>
        <w:rPr>
          <w:rFonts w:asciiTheme="minorHAnsi" w:hAnsiTheme="minorHAnsi" w:eastAsiaTheme="minorEastAsia" w:cstheme="minorBidi"/>
          <w:b w:val="0"/>
          <w:bCs w:val="0"/>
          <w:caps w:val="0"/>
          <w:sz w:val="24"/>
          <w:szCs w:val="24"/>
        </w:rPr>
      </w:pPr>
      <w:r>
        <w:fldChar w:fldCharType="begin"/>
      </w:r>
      <w:r>
        <w:instrText xml:space="preserve"> HYPERLINK \l "_Toc111197170" </w:instrText>
      </w:r>
      <w:r>
        <w:fldChar w:fldCharType="separate"/>
      </w:r>
      <w:r>
        <w:rPr>
          <w:rStyle w:val="25"/>
          <w:sz w:val="24"/>
          <w:szCs w:val="24"/>
        </w:rPr>
        <w:t>一、数字政务实验室（公共管理决策仿真系统）实训中心设立目的及意义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_Toc111197170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507B8661">
      <w:pPr>
        <w:pStyle w:val="17"/>
        <w:tabs>
          <w:tab w:val="right" w:leader="middleDot" w:pos="8296"/>
        </w:tabs>
        <w:spacing w:line="360" w:lineRule="auto"/>
        <w:rPr>
          <w:rFonts w:asciiTheme="minorHAnsi" w:hAnsiTheme="minorHAnsi" w:eastAsiaTheme="minorEastAsia" w:cstheme="minorBidi"/>
          <w:b w:val="0"/>
          <w:bCs w:val="0"/>
          <w:caps w:val="0"/>
          <w:sz w:val="24"/>
          <w:szCs w:val="24"/>
        </w:rPr>
      </w:pPr>
      <w:r>
        <w:fldChar w:fldCharType="begin"/>
      </w:r>
      <w:r>
        <w:instrText xml:space="preserve"> HYPERLINK \l "_Toc111197171" </w:instrText>
      </w:r>
      <w:r>
        <w:fldChar w:fldCharType="separate"/>
      </w:r>
      <w:r>
        <w:rPr>
          <w:rStyle w:val="25"/>
          <w:sz w:val="24"/>
          <w:szCs w:val="24"/>
        </w:rPr>
        <w:t>二、模拟经营实训中心建设方案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_Toc111197171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28F225B5">
      <w:pPr>
        <w:pStyle w:val="20"/>
        <w:spacing w:line="360" w:lineRule="auto"/>
        <w:rPr>
          <w:rFonts w:asciiTheme="minorHAnsi" w:hAnsiTheme="minorHAnsi" w:eastAsiaTheme="minorEastAsia" w:cstheme="minorBidi"/>
          <w:smallCaps w:val="0"/>
          <w:sz w:val="24"/>
          <w:szCs w:val="24"/>
        </w:rPr>
      </w:pPr>
      <w:r>
        <w:fldChar w:fldCharType="begin"/>
      </w:r>
      <w:r>
        <w:instrText xml:space="preserve"> HYPERLINK \l "_Toc111197172" </w:instrText>
      </w:r>
      <w:r>
        <w:fldChar w:fldCharType="separate"/>
      </w:r>
      <w:r>
        <w:rPr>
          <w:rStyle w:val="25"/>
          <w:sz w:val="24"/>
          <w:szCs w:val="24"/>
        </w:rPr>
        <w:t>1、实训课程介绍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_Toc111197172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1C7FF7EA">
      <w:pPr>
        <w:pStyle w:val="20"/>
        <w:spacing w:line="360" w:lineRule="auto"/>
        <w:rPr>
          <w:rFonts w:asciiTheme="minorHAnsi" w:hAnsiTheme="minorHAnsi" w:eastAsiaTheme="minorEastAsia" w:cstheme="minorBidi"/>
          <w:smallCaps w:val="0"/>
          <w:sz w:val="24"/>
          <w:szCs w:val="24"/>
        </w:rPr>
      </w:pPr>
      <w:r>
        <w:fldChar w:fldCharType="begin"/>
      </w:r>
      <w:r>
        <w:instrText xml:space="preserve"> HYPERLINK \l "_Toc111197173" </w:instrText>
      </w:r>
      <w:r>
        <w:fldChar w:fldCharType="separate"/>
      </w:r>
      <w:r>
        <w:rPr>
          <w:rStyle w:val="25"/>
          <w:sz w:val="24"/>
          <w:szCs w:val="24"/>
        </w:rPr>
        <w:t>2、实训课程达到的教学目的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_Toc111197173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2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56B44777">
      <w:pPr>
        <w:pStyle w:val="20"/>
        <w:spacing w:line="360" w:lineRule="auto"/>
        <w:rPr>
          <w:rFonts w:asciiTheme="minorHAnsi" w:hAnsiTheme="minorHAnsi" w:eastAsiaTheme="minorEastAsia" w:cstheme="minorBidi"/>
          <w:smallCaps w:val="0"/>
          <w:sz w:val="24"/>
          <w:szCs w:val="24"/>
        </w:rPr>
      </w:pPr>
      <w:r>
        <w:fldChar w:fldCharType="begin"/>
      </w:r>
      <w:r>
        <w:instrText xml:space="preserve"> HYPERLINK \l "_Toc111197174" </w:instrText>
      </w:r>
      <w:r>
        <w:fldChar w:fldCharType="separate"/>
      </w:r>
      <w:r>
        <w:rPr>
          <w:rStyle w:val="25"/>
          <w:sz w:val="24"/>
          <w:szCs w:val="24"/>
        </w:rPr>
        <w:t>3、实训课程的授课方式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_Toc111197174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2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2FA185C9">
      <w:pPr>
        <w:pStyle w:val="20"/>
        <w:spacing w:line="360" w:lineRule="auto"/>
        <w:rPr>
          <w:rFonts w:asciiTheme="minorHAnsi" w:hAnsiTheme="minorHAnsi" w:eastAsiaTheme="minorEastAsia" w:cstheme="minorBidi"/>
          <w:smallCaps w:val="0"/>
          <w:sz w:val="24"/>
          <w:szCs w:val="24"/>
        </w:rPr>
      </w:pPr>
      <w:r>
        <w:fldChar w:fldCharType="begin"/>
      </w:r>
      <w:r>
        <w:instrText xml:space="preserve"> HYPERLINK \l "_Toc111197175" </w:instrText>
      </w:r>
      <w:r>
        <w:fldChar w:fldCharType="separate"/>
      </w:r>
      <w:r>
        <w:rPr>
          <w:rStyle w:val="25"/>
          <w:sz w:val="24"/>
          <w:szCs w:val="24"/>
        </w:rPr>
        <w:t>4、实训涉及的基础课程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_Toc111197175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2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5BAB52EA">
      <w:pPr>
        <w:pStyle w:val="20"/>
        <w:spacing w:line="360" w:lineRule="auto"/>
        <w:rPr>
          <w:rFonts w:asciiTheme="minorHAnsi" w:hAnsiTheme="minorHAnsi" w:eastAsiaTheme="minorEastAsia" w:cstheme="minorBidi"/>
          <w:smallCaps w:val="0"/>
          <w:sz w:val="24"/>
          <w:szCs w:val="24"/>
        </w:rPr>
      </w:pPr>
      <w:r>
        <w:fldChar w:fldCharType="begin"/>
      </w:r>
      <w:r>
        <w:instrText xml:space="preserve"> HYPERLINK \l "_Toc111197176" </w:instrText>
      </w:r>
      <w:r>
        <w:fldChar w:fldCharType="separate"/>
      </w:r>
      <w:r>
        <w:rPr>
          <w:rStyle w:val="25"/>
          <w:sz w:val="24"/>
          <w:szCs w:val="24"/>
        </w:rPr>
        <w:t>5、实验考核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_Toc111197176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2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18B303BC">
      <w:pPr>
        <w:pStyle w:val="20"/>
        <w:spacing w:line="360" w:lineRule="auto"/>
        <w:rPr>
          <w:rFonts w:asciiTheme="minorHAnsi" w:hAnsiTheme="minorHAnsi" w:eastAsiaTheme="minorEastAsia" w:cstheme="minorBidi"/>
          <w:smallCaps w:val="0"/>
          <w:sz w:val="24"/>
          <w:szCs w:val="24"/>
        </w:rPr>
      </w:pPr>
      <w:r>
        <w:fldChar w:fldCharType="begin"/>
      </w:r>
      <w:r>
        <w:instrText xml:space="preserve"> HYPERLINK \l "_Toc111197177" </w:instrText>
      </w:r>
      <w:r>
        <w:fldChar w:fldCharType="separate"/>
      </w:r>
      <w:r>
        <w:rPr>
          <w:rStyle w:val="25"/>
          <w:sz w:val="24"/>
          <w:szCs w:val="24"/>
        </w:rPr>
        <w:t>6、实验报告的格式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_Toc111197177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587DAB7B">
      <w:pPr>
        <w:pStyle w:val="17"/>
        <w:tabs>
          <w:tab w:val="right" w:leader="middleDot" w:pos="8296"/>
        </w:tabs>
        <w:spacing w:line="360" w:lineRule="auto"/>
        <w:rPr>
          <w:rFonts w:asciiTheme="minorHAnsi" w:hAnsiTheme="minorHAnsi" w:eastAsiaTheme="minorEastAsia" w:cstheme="minorBidi"/>
          <w:b w:val="0"/>
          <w:bCs w:val="0"/>
          <w:caps w:val="0"/>
          <w:sz w:val="24"/>
          <w:szCs w:val="24"/>
        </w:rPr>
      </w:pPr>
      <w:r>
        <w:fldChar w:fldCharType="begin"/>
      </w:r>
      <w:r>
        <w:instrText xml:space="preserve"> HYPERLINK \l "_Toc111197178" </w:instrText>
      </w:r>
      <w:r>
        <w:fldChar w:fldCharType="separate"/>
      </w:r>
      <w:r>
        <w:rPr>
          <w:rStyle w:val="25"/>
          <w:sz w:val="24"/>
          <w:szCs w:val="24"/>
        </w:rPr>
        <w:t>三、实验内容与项目概述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_Toc111197178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1A8C2D9E">
      <w:pPr>
        <w:pStyle w:val="20"/>
        <w:spacing w:line="360" w:lineRule="auto"/>
        <w:rPr>
          <w:rFonts w:asciiTheme="minorHAnsi" w:hAnsiTheme="minorHAnsi" w:eastAsiaTheme="minorEastAsia" w:cstheme="minorBidi"/>
          <w:smallCaps w:val="0"/>
          <w:sz w:val="24"/>
          <w:szCs w:val="24"/>
        </w:rPr>
      </w:pPr>
      <w:r>
        <w:fldChar w:fldCharType="begin"/>
      </w:r>
      <w:r>
        <w:instrText xml:space="preserve"> HYPERLINK \l "_Toc111197179" </w:instrText>
      </w:r>
      <w:r>
        <w:fldChar w:fldCharType="separate"/>
      </w:r>
      <w:r>
        <w:rPr>
          <w:rStyle w:val="25"/>
          <w:sz w:val="24"/>
          <w:szCs w:val="24"/>
        </w:rPr>
        <w:t>1、公共管理环境认知与四大职能实验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_Toc111197179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4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59E5C86C">
      <w:pPr>
        <w:pStyle w:val="20"/>
        <w:spacing w:line="360" w:lineRule="auto"/>
        <w:rPr>
          <w:rFonts w:asciiTheme="minorHAnsi" w:hAnsiTheme="minorHAnsi" w:eastAsiaTheme="minorEastAsia" w:cstheme="minorBidi"/>
          <w:smallCaps w:val="0"/>
          <w:sz w:val="24"/>
          <w:szCs w:val="24"/>
        </w:rPr>
      </w:pPr>
      <w:r>
        <w:fldChar w:fldCharType="begin"/>
      </w:r>
      <w:r>
        <w:instrText xml:space="preserve"> HYPERLINK \l "_Toc111197180" </w:instrText>
      </w:r>
      <w:r>
        <w:fldChar w:fldCharType="separate"/>
      </w:r>
      <w:r>
        <w:rPr>
          <w:rStyle w:val="25"/>
          <w:sz w:val="24"/>
          <w:szCs w:val="24"/>
        </w:rPr>
        <w:t>2、公共政策设计、执行和评估实验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_Toc111197180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5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2413E7AD">
      <w:pPr>
        <w:pStyle w:val="20"/>
        <w:spacing w:line="360" w:lineRule="auto"/>
        <w:rPr>
          <w:rFonts w:asciiTheme="minorHAnsi" w:hAnsiTheme="minorHAnsi" w:eastAsiaTheme="minorEastAsia" w:cstheme="minorBidi"/>
          <w:smallCaps w:val="0"/>
          <w:sz w:val="24"/>
          <w:szCs w:val="24"/>
        </w:rPr>
      </w:pPr>
      <w:r>
        <w:fldChar w:fldCharType="begin"/>
      </w:r>
      <w:r>
        <w:instrText xml:space="preserve"> HYPERLINK \l "_Toc111197181" </w:instrText>
      </w:r>
      <w:r>
        <w:fldChar w:fldCharType="separate"/>
      </w:r>
      <w:r>
        <w:rPr>
          <w:rStyle w:val="25"/>
          <w:sz w:val="24"/>
          <w:szCs w:val="24"/>
        </w:rPr>
        <w:t>3、公共财政管理实验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_Toc111197181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5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6456444B">
      <w:pPr>
        <w:pStyle w:val="20"/>
        <w:spacing w:line="360" w:lineRule="auto"/>
        <w:rPr>
          <w:rFonts w:asciiTheme="minorHAnsi" w:hAnsiTheme="minorHAnsi" w:eastAsiaTheme="minorEastAsia" w:cstheme="minorBidi"/>
          <w:smallCaps w:val="0"/>
          <w:sz w:val="24"/>
          <w:szCs w:val="24"/>
        </w:rPr>
      </w:pPr>
      <w:r>
        <w:fldChar w:fldCharType="begin"/>
      </w:r>
      <w:r>
        <w:instrText xml:space="preserve"> HYPERLINK \l "_Toc111197182" </w:instrText>
      </w:r>
      <w:r>
        <w:fldChar w:fldCharType="separate"/>
      </w:r>
      <w:r>
        <w:rPr>
          <w:rStyle w:val="25"/>
          <w:sz w:val="24"/>
          <w:szCs w:val="24"/>
        </w:rPr>
        <w:t>4、政府绩效管理实验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_Toc111197182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6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0EBC284C">
      <w:pPr>
        <w:pStyle w:val="20"/>
        <w:spacing w:line="360" w:lineRule="auto"/>
        <w:rPr>
          <w:rFonts w:asciiTheme="minorHAnsi" w:hAnsiTheme="minorHAnsi" w:eastAsiaTheme="minorEastAsia" w:cstheme="minorBidi"/>
          <w:smallCaps w:val="0"/>
          <w:sz w:val="24"/>
          <w:szCs w:val="24"/>
        </w:rPr>
      </w:pPr>
      <w:r>
        <w:fldChar w:fldCharType="begin"/>
      </w:r>
      <w:r>
        <w:instrText xml:space="preserve"> HYPERLINK \l "_Toc111197183" </w:instrText>
      </w:r>
      <w:r>
        <w:fldChar w:fldCharType="separate"/>
      </w:r>
      <w:r>
        <w:rPr>
          <w:rStyle w:val="25"/>
          <w:sz w:val="24"/>
          <w:szCs w:val="24"/>
        </w:rPr>
        <w:t>5、企业型政府与公共管理变革创新实验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_Toc111197183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7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0D586255">
      <w:pPr>
        <w:pStyle w:val="20"/>
        <w:spacing w:line="360" w:lineRule="auto"/>
        <w:rPr>
          <w:rFonts w:asciiTheme="minorHAnsi" w:hAnsiTheme="minorHAnsi" w:eastAsiaTheme="minorEastAsia" w:cstheme="minorBidi"/>
          <w:smallCaps w:val="0"/>
          <w:sz w:val="24"/>
          <w:szCs w:val="24"/>
        </w:rPr>
      </w:pPr>
      <w:r>
        <w:fldChar w:fldCharType="begin"/>
      </w:r>
      <w:r>
        <w:instrText xml:space="preserve"> HYPERLINK \l "_Toc111197184" </w:instrText>
      </w:r>
      <w:r>
        <w:fldChar w:fldCharType="separate"/>
      </w:r>
      <w:r>
        <w:rPr>
          <w:rStyle w:val="25"/>
          <w:sz w:val="24"/>
          <w:szCs w:val="24"/>
        </w:rPr>
        <w:t>6、危机管理与政府决策实验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_Toc111197184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8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2C0F7F83">
      <w:pPr>
        <w:pStyle w:val="17"/>
        <w:tabs>
          <w:tab w:val="right" w:leader="middleDot" w:pos="8296"/>
        </w:tabs>
        <w:spacing w:line="360" w:lineRule="auto"/>
        <w:rPr>
          <w:rFonts w:asciiTheme="minorHAnsi" w:hAnsiTheme="minorHAnsi" w:eastAsiaTheme="minorEastAsia" w:cstheme="minorBidi"/>
          <w:b w:val="0"/>
          <w:bCs w:val="0"/>
          <w:caps w:val="0"/>
          <w:sz w:val="24"/>
          <w:szCs w:val="24"/>
        </w:rPr>
      </w:pPr>
      <w:r>
        <w:fldChar w:fldCharType="begin"/>
      </w:r>
      <w:r>
        <w:instrText xml:space="preserve"> HYPERLINK \l "_Toc111197185" </w:instrText>
      </w:r>
      <w:r>
        <w:fldChar w:fldCharType="separate"/>
      </w:r>
      <w:r>
        <w:rPr>
          <w:rStyle w:val="25"/>
          <w:sz w:val="24"/>
          <w:szCs w:val="24"/>
        </w:rPr>
        <w:t>四、实训中心硬件配置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_Toc111197185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8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78E44BE2">
      <w:pPr>
        <w:pStyle w:val="17"/>
        <w:tabs>
          <w:tab w:val="right" w:leader="middleDot" w:pos="8296"/>
        </w:tabs>
        <w:spacing w:line="360" w:lineRule="auto"/>
        <w:rPr>
          <w:rFonts w:asciiTheme="minorHAnsi" w:hAnsiTheme="minorHAnsi" w:eastAsiaTheme="minorEastAsia" w:cstheme="minorBidi"/>
          <w:b w:val="0"/>
          <w:bCs w:val="0"/>
          <w:caps w:val="0"/>
          <w:sz w:val="24"/>
          <w:szCs w:val="24"/>
        </w:rPr>
      </w:pPr>
      <w:r>
        <w:fldChar w:fldCharType="begin"/>
      </w:r>
      <w:r>
        <w:instrText xml:space="preserve"> HYPERLINK \l "_Toc111197186" </w:instrText>
      </w:r>
      <w:r>
        <w:fldChar w:fldCharType="separate"/>
      </w:r>
      <w:r>
        <w:rPr>
          <w:rStyle w:val="25"/>
          <w:sz w:val="24"/>
          <w:szCs w:val="24"/>
        </w:rPr>
        <w:t>五、产品内容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_Toc111197186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9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1BD74008">
      <w:pPr>
        <w:pStyle w:val="20"/>
        <w:spacing w:line="360" w:lineRule="auto"/>
        <w:rPr>
          <w:rFonts w:asciiTheme="minorHAnsi" w:hAnsiTheme="minorHAnsi" w:eastAsiaTheme="minorEastAsia" w:cstheme="minorBidi"/>
          <w:smallCaps w:val="0"/>
          <w:sz w:val="24"/>
          <w:szCs w:val="24"/>
        </w:rPr>
      </w:pPr>
      <w:r>
        <w:fldChar w:fldCharType="begin"/>
      </w:r>
      <w:r>
        <w:instrText xml:space="preserve"> HYPERLINK \l "_Toc111197187" </w:instrText>
      </w:r>
      <w:r>
        <w:fldChar w:fldCharType="separate"/>
      </w:r>
      <w:r>
        <w:rPr>
          <w:rStyle w:val="25"/>
          <w:sz w:val="24"/>
          <w:szCs w:val="24"/>
        </w:rPr>
        <w:t>1、电子资料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_Toc111197187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9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44EBFF5E">
      <w:pPr>
        <w:pStyle w:val="20"/>
        <w:spacing w:line="360" w:lineRule="auto"/>
        <w:rPr>
          <w:rFonts w:asciiTheme="minorHAnsi" w:hAnsiTheme="minorHAnsi" w:eastAsiaTheme="minorEastAsia" w:cstheme="minorBidi"/>
          <w:smallCaps w:val="0"/>
          <w:sz w:val="24"/>
          <w:szCs w:val="24"/>
        </w:rPr>
      </w:pPr>
      <w:r>
        <w:fldChar w:fldCharType="begin"/>
      </w:r>
      <w:r>
        <w:instrText xml:space="preserve"> HYPERLINK \l "_Toc111197188" </w:instrText>
      </w:r>
      <w:r>
        <w:fldChar w:fldCharType="separate"/>
      </w:r>
      <w:r>
        <w:rPr>
          <w:rStyle w:val="25"/>
          <w:sz w:val="24"/>
          <w:szCs w:val="24"/>
        </w:rPr>
        <w:t>2、软件操作系统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_Toc111197188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9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7BCACA10">
      <w:pPr>
        <w:pStyle w:val="20"/>
        <w:spacing w:line="360" w:lineRule="auto"/>
        <w:rPr>
          <w:rFonts w:asciiTheme="minorHAnsi" w:hAnsiTheme="minorHAnsi" w:eastAsiaTheme="minorEastAsia" w:cstheme="minorBidi"/>
          <w:smallCaps w:val="0"/>
          <w:sz w:val="21"/>
          <w:szCs w:val="22"/>
        </w:rPr>
      </w:pPr>
      <w:r>
        <w:fldChar w:fldCharType="begin"/>
      </w:r>
      <w:r>
        <w:instrText xml:space="preserve"> HYPERLINK \l "_Toc111197189" </w:instrText>
      </w:r>
      <w:r>
        <w:fldChar w:fldCharType="separate"/>
      </w:r>
      <w:r>
        <w:rPr>
          <w:rStyle w:val="25"/>
          <w:sz w:val="24"/>
          <w:szCs w:val="24"/>
        </w:rPr>
        <w:t>4、售后服务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_Toc111197189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6E69A7C7">
      <w:pPr>
        <w:spacing w:line="360" w:lineRule="auto"/>
        <w:rPr>
          <w:rFonts w:cs="Calibri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Cs w:val="24"/>
        </w:rPr>
        <w:fldChar w:fldCharType="end"/>
      </w:r>
    </w:p>
    <w:p w14:paraId="510B1C7C">
      <w:pPr>
        <w:widowControl/>
        <w:spacing w:beforeAutospacing="1" w:afterAutospacing="1" w:line="360" w:lineRule="auto"/>
        <w:jc w:val="left"/>
        <w:rPr>
          <w:rFonts w:ascii="Arial" w:hAnsi="Arial" w:eastAsia="黑体" w:cs="宋体"/>
          <w:b/>
          <w:bCs/>
          <w:sz w:val="28"/>
          <w:szCs w:val="28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720" w:footer="720" w:gutter="0"/>
          <w:pgNumType w:start="1"/>
          <w:cols w:space="720" w:num="1"/>
          <w:titlePg/>
          <w:docGrid w:type="lines" w:linePitch="312" w:charSpace="0"/>
        </w:sectPr>
      </w:pPr>
      <w:bookmarkStart w:id="2" w:name="_Toc330888408"/>
      <w:bookmarkEnd w:id="2"/>
      <w:bookmarkStart w:id="3" w:name="_Toc330888367"/>
      <w:bookmarkEnd w:id="3"/>
    </w:p>
    <w:p w14:paraId="3423C4CF">
      <w:pPr>
        <w:pStyle w:val="4"/>
        <w:rPr>
          <w:rFonts w:ascii="Arial" w:hAnsi="Arial"/>
          <w:sz w:val="32"/>
          <w:szCs w:val="32"/>
        </w:rPr>
      </w:pPr>
      <w:bookmarkStart w:id="4" w:name="_Toc361849257"/>
      <w:bookmarkEnd w:id="4"/>
      <w:bookmarkStart w:id="5" w:name="_Toc111197170"/>
      <w:r>
        <w:rPr>
          <w:rFonts w:hint="eastAsia"/>
        </w:rPr>
        <w:t>一、数字政务实验室（公共管理决策仿真系统）实训中心设立目的及意义</w:t>
      </w:r>
      <w:bookmarkEnd w:id="5"/>
    </w:p>
    <w:p w14:paraId="5F90E6B7">
      <w:pPr>
        <w:spacing w:line="360" w:lineRule="auto"/>
        <w:ind w:firstLine="420" w:firstLineChars="200"/>
        <w:rPr>
          <w:rFonts w:ascii="宋体" w:hAnsi="宋体" w:cs="Calibri"/>
          <w:szCs w:val="21"/>
        </w:rPr>
      </w:pPr>
      <w:r>
        <w:rPr>
          <w:rFonts w:ascii="宋体" w:hAnsi="宋体" w:cs="Calibri"/>
          <w:szCs w:val="21"/>
        </w:rPr>
        <w:t>1</w:t>
      </w:r>
      <w:r>
        <w:rPr>
          <w:rFonts w:hint="eastAsia" w:ascii="宋体" w:hAnsi="宋体" w:cs="Calibri"/>
          <w:szCs w:val="21"/>
        </w:rPr>
        <w:t>、建立了公共管理专业多课程实训实验教学平台</w:t>
      </w:r>
    </w:p>
    <w:p w14:paraId="797D5F49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《公共管理决策仿真实验系统》融合了多门公共管理专业的基础课和核心课，解决了长期困扰我们的多课程实训实验教学平台问题。</w:t>
      </w:r>
    </w:p>
    <w:p w14:paraId="18D90B00">
      <w:pPr>
        <w:spacing w:line="360" w:lineRule="auto"/>
        <w:ind w:firstLine="420" w:firstLineChars="200"/>
        <w:rPr>
          <w:rFonts w:ascii="宋体" w:hAnsi="宋体" w:cs="Calibri"/>
          <w:szCs w:val="21"/>
        </w:rPr>
      </w:pPr>
      <w:r>
        <w:rPr>
          <w:rFonts w:ascii="宋体" w:hAnsi="宋体" w:cs="Calibri"/>
          <w:szCs w:val="21"/>
        </w:rPr>
        <w:t>2</w:t>
      </w:r>
      <w:r>
        <w:rPr>
          <w:rFonts w:hint="eastAsia" w:ascii="宋体" w:hAnsi="宋体" w:cs="Calibri"/>
          <w:szCs w:val="21"/>
        </w:rPr>
        <w:t>、填补了公共管理学生的实训空白</w:t>
      </w:r>
    </w:p>
    <w:p w14:paraId="262CD3BD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以前我们的学生到公共管理机构实训，无法接触核心业务，只是站站前台或纯粹的整理资料，学生很多怨言，《数字政务实验室（公共管理决策仿真系统）》让学生切身感受到了公共管理的学习乐趣，掌握了基本的决策思维。</w:t>
      </w:r>
    </w:p>
    <w:p w14:paraId="246B6EE3">
      <w:pPr>
        <w:spacing w:line="360" w:lineRule="auto"/>
        <w:ind w:firstLine="420" w:firstLineChars="200"/>
        <w:rPr>
          <w:rFonts w:ascii="宋体" w:hAnsi="宋体" w:cs="Calibri"/>
          <w:szCs w:val="21"/>
        </w:rPr>
      </w:pPr>
      <w:r>
        <w:rPr>
          <w:rFonts w:ascii="宋体" w:hAnsi="宋体" w:cs="Calibri"/>
          <w:szCs w:val="21"/>
        </w:rPr>
        <w:t>3</w:t>
      </w:r>
      <w:r>
        <w:rPr>
          <w:rFonts w:hint="eastAsia" w:ascii="宋体" w:hAnsi="宋体" w:cs="Calibri"/>
          <w:szCs w:val="21"/>
        </w:rPr>
        <w:t>、提升了学生就业发展空间</w:t>
      </w:r>
    </w:p>
    <w:p w14:paraId="6079076A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与没有开这门课相比，学生明显对公共管理部门职责熟悉很多，在面试时，能比较系统地讲出公共管理各部门业务流程与决策思路，尤其对政府各部门之间的业务关系、工作重点有良好的心得和体会，入职后的发展空间比其他院校大很多。</w:t>
      </w:r>
    </w:p>
    <w:p w14:paraId="1672C6BE">
      <w:pPr>
        <w:spacing w:line="360" w:lineRule="auto"/>
        <w:ind w:firstLine="420" w:firstLineChars="200"/>
        <w:rPr>
          <w:rFonts w:ascii="宋体" w:hAnsi="宋体" w:cs="Calibri"/>
          <w:szCs w:val="21"/>
        </w:rPr>
      </w:pPr>
      <w:r>
        <w:rPr>
          <w:rFonts w:ascii="宋体" w:hAnsi="宋体" w:cs="Calibri"/>
          <w:szCs w:val="21"/>
        </w:rPr>
        <w:t>4</w:t>
      </w:r>
      <w:r>
        <w:rPr>
          <w:rFonts w:hint="eastAsia" w:ascii="宋体" w:hAnsi="宋体" w:cs="Calibri"/>
          <w:szCs w:val="21"/>
        </w:rPr>
        <w:t>、为学院申报各项教学成果打下基础</w:t>
      </w:r>
    </w:p>
    <w:p w14:paraId="3EAAA67F">
      <w:pPr>
        <w:spacing w:line="360" w:lineRule="auto"/>
        <w:ind w:firstLine="48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该产品售后服务支持包括金牌教师发展支持、省级国家级教改项目申报支持、省级国家级实验示范中心申报支持、省级国家级示范院校建设申报支持、特色专业</w:t>
      </w:r>
      <w:r>
        <w:rPr>
          <w:rFonts w:ascii="宋体" w:hAnsi="宋体" w:cs="Calibri"/>
          <w:szCs w:val="21"/>
        </w:rPr>
        <w:t>/</w:t>
      </w:r>
      <w:r>
        <w:rPr>
          <w:rFonts w:hint="eastAsia" w:ascii="宋体" w:hAnsi="宋体" w:cs="Calibri"/>
          <w:szCs w:val="21"/>
        </w:rPr>
        <w:t>新增专业申报、实训实验基地建设支持、教学成果申报支持、教材出版支持。</w:t>
      </w:r>
    </w:p>
    <w:p w14:paraId="4686180C">
      <w:pPr>
        <w:pStyle w:val="4"/>
        <w:rPr>
          <w:rFonts w:ascii="Arial" w:hAnsi="Arial"/>
        </w:rPr>
      </w:pPr>
      <w:bookmarkStart w:id="6" w:name="_Toc361849258"/>
      <w:bookmarkEnd w:id="6"/>
      <w:bookmarkStart w:id="7" w:name="_Toc111197171"/>
      <w:r>
        <w:rPr>
          <w:rFonts w:hint="eastAsia"/>
        </w:rPr>
        <w:t>二、模拟经营实训中心建设方案</w:t>
      </w:r>
      <w:bookmarkEnd w:id="7"/>
    </w:p>
    <w:p w14:paraId="70BF613C">
      <w:pPr>
        <w:pStyle w:val="5"/>
        <w:rPr>
          <w:rFonts w:ascii="Calibri" w:hAnsi="Calibri"/>
        </w:rPr>
      </w:pPr>
      <w:bookmarkStart w:id="8" w:name="_Toc361849259"/>
      <w:bookmarkEnd w:id="8"/>
      <w:bookmarkStart w:id="9" w:name="_Toc111197172"/>
      <w:r>
        <w:rPr>
          <w:rFonts w:ascii="Calibri" w:hAnsi="Calibri"/>
        </w:rPr>
        <w:t>1</w:t>
      </w:r>
      <w:r>
        <w:rPr>
          <w:rFonts w:hint="eastAsia"/>
        </w:rPr>
        <w:t>、实训课程介绍</w:t>
      </w:r>
      <w:bookmarkEnd w:id="9"/>
    </w:p>
    <w:p w14:paraId="3293F3B6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该课程通过筹码推演和角色扮演模拟地方政府运营过程，营造真实外围项目环境、公共资源。</w:t>
      </w:r>
    </w:p>
    <w:p w14:paraId="0DC0DED3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全班分为</w:t>
      </w:r>
      <w:r>
        <w:rPr>
          <w:rFonts w:ascii="宋体" w:hAnsi="宋体" w:cs="Calibri"/>
          <w:szCs w:val="21"/>
        </w:rPr>
        <w:t>8</w:t>
      </w:r>
      <w:r>
        <w:rPr>
          <w:rFonts w:hint="eastAsia" w:ascii="宋体" w:hAnsi="宋体" w:cs="Calibri"/>
          <w:szCs w:val="21"/>
        </w:rPr>
        <w:t>个组，分别扮演</w:t>
      </w:r>
      <w:r>
        <w:rPr>
          <w:rFonts w:ascii="宋体" w:hAnsi="宋体" w:cs="Calibri"/>
          <w:szCs w:val="21"/>
        </w:rPr>
        <w:t>8</w:t>
      </w:r>
      <w:r>
        <w:rPr>
          <w:rFonts w:hint="eastAsia" w:ascii="宋体" w:hAnsi="宋体" w:cs="Calibri"/>
          <w:szCs w:val="21"/>
        </w:rPr>
        <w:t>个区县政府，各组需采取招商引资政策、公共投资促进政策、企业服务政策改善民生、增进本地区经济实力和发展后劲。由各组学生调查一个现实中县级或区级区域产业、人口等情况，扮演招商局、发改局、土地局、财政局、人保局与公共事业局的一员，面对统一的外部经济环境和国家政策法律环境，通过招商引资、发展工业和商业服务业、投资公共事业，提升就业率、增强当地居民幸福感。</w:t>
      </w:r>
    </w:p>
    <w:p w14:paraId="4B7D3891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各组需要调研的区情包括：上年财政收入、区域特色企业的行业分布与产业、</w:t>
      </w:r>
      <w:r>
        <w:rPr>
          <w:rFonts w:ascii="宋体" w:hAnsi="宋体" w:cs="Calibri"/>
          <w:szCs w:val="21"/>
        </w:rPr>
        <w:t>GDP</w:t>
      </w:r>
      <w:r>
        <w:rPr>
          <w:rFonts w:hint="eastAsia" w:ascii="宋体" w:hAnsi="宋体" w:cs="Calibri"/>
          <w:szCs w:val="21"/>
        </w:rPr>
        <w:t>、常住人口，拥有的资源包括土地（含工业用地、商业与服务业用地、公共事业用地、住宅用地）、财政收入（含土地收入与税收）。各组需要竞争外部产业项目、吸引高层次制造业和服务业人才、发展文体场馆</w:t>
      </w:r>
      <w:r>
        <w:rPr>
          <w:rFonts w:ascii="宋体" w:cs="Calibri"/>
          <w:szCs w:val="21"/>
        </w:rPr>
        <w:t>\</w:t>
      </w:r>
      <w:r>
        <w:rPr>
          <w:rFonts w:hint="eastAsia" w:ascii="宋体" w:hAnsi="宋体" w:cs="Calibri"/>
          <w:szCs w:val="21"/>
        </w:rPr>
        <w:t>医院</w:t>
      </w:r>
      <w:r>
        <w:rPr>
          <w:rFonts w:ascii="宋体" w:cs="Calibri"/>
          <w:szCs w:val="21"/>
        </w:rPr>
        <w:t>\</w:t>
      </w:r>
      <w:r>
        <w:rPr>
          <w:rFonts w:hint="eastAsia" w:ascii="宋体" w:hAnsi="宋体" w:cs="Calibri"/>
          <w:szCs w:val="21"/>
        </w:rPr>
        <w:t>学校，最终提升居民幸福度、企业活力，实现经济与社会和谐发展。</w:t>
      </w:r>
    </w:p>
    <w:p w14:paraId="29BEF179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其中，招商局职责是吸引产业项目入驻，与其他区域竞争制造业、服务业项目；发改局制定年度发展规划，需要考虑产业聚集度、环保、各项目财税贡献、就业等多因素；土地局需根据发改局规划计算本年度土地需求量，设定工业、商业与服务业、公共事业与住宅用地指标，征收储备下一年土地；财政局负责本年度各项投资款项筹备，财税计划，确保收支平衡；人保局负责制定高层次人才吸引政策与就业促进政策；公共事业局负责规划文体场馆、学校、医院等设施布局与投资运营，提高居民生活质量。</w:t>
      </w:r>
    </w:p>
    <w:p w14:paraId="50DB78F8">
      <w:pPr>
        <w:pStyle w:val="5"/>
        <w:rPr>
          <w:rFonts w:ascii="Calibri" w:hAnsi="Calibri"/>
        </w:rPr>
      </w:pPr>
      <w:bookmarkStart w:id="10" w:name="_Toc361849260"/>
      <w:bookmarkEnd w:id="10"/>
      <w:bookmarkStart w:id="11" w:name="_Toc111197173"/>
      <w:r>
        <w:rPr>
          <w:rFonts w:ascii="Calibri" w:hAnsi="Calibri"/>
        </w:rPr>
        <w:t>2</w:t>
      </w:r>
      <w:r>
        <w:rPr>
          <w:rFonts w:hint="eastAsia"/>
        </w:rPr>
        <w:t>、实训课程达到的教学目的</w:t>
      </w:r>
      <w:bookmarkEnd w:id="11"/>
    </w:p>
    <w:p w14:paraId="08658C9E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bookmarkStart w:id="12" w:name="_Toc361849261"/>
      <w:bookmarkEnd w:id="12"/>
      <w:r>
        <w:rPr>
          <w:rFonts w:hint="eastAsia" w:ascii="宋体" w:hAnsi="宋体" w:cs="宋体"/>
          <w:szCs w:val="21"/>
        </w:rPr>
        <w:t>理解现实政府职能部门之间的联系与职责分工</w:t>
      </w:r>
      <w:r>
        <w:rPr>
          <w:rFonts w:ascii="宋体" w:hAnsi="宋体" w:cs="宋体"/>
          <w:szCs w:val="21"/>
        </w:rPr>
        <w:t xml:space="preserve"> </w:t>
      </w:r>
    </w:p>
    <w:p w14:paraId="1E36FB59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理解部门公共政策对区域发展的影响</w:t>
      </w:r>
      <w:r>
        <w:rPr>
          <w:rFonts w:ascii="宋体" w:hAnsi="宋体" w:cs="宋体"/>
          <w:szCs w:val="21"/>
        </w:rPr>
        <w:t xml:space="preserve">  </w:t>
      </w:r>
    </w:p>
    <w:p w14:paraId="16C3994F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树立正确的政府绩效观</w:t>
      </w:r>
      <w:r>
        <w:rPr>
          <w:rFonts w:ascii="宋体" w:hAnsi="宋体" w:cs="宋体"/>
          <w:szCs w:val="21"/>
        </w:rPr>
        <w:t xml:space="preserve"> </w:t>
      </w:r>
    </w:p>
    <w:p w14:paraId="048CF465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根据不同区情，能够制定相应发展策略</w:t>
      </w:r>
      <w:r>
        <w:rPr>
          <w:rFonts w:ascii="宋体" w:hAnsi="宋体" w:cs="宋体"/>
          <w:szCs w:val="21"/>
        </w:rPr>
        <w:t xml:space="preserve">  </w:t>
      </w:r>
    </w:p>
    <w:p w14:paraId="034E9204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参与各项政府实战工作，掌握各项工作要点</w:t>
      </w:r>
      <w:r>
        <w:rPr>
          <w:rFonts w:ascii="宋体" w:hAnsi="宋体" w:cs="宋体"/>
          <w:szCs w:val="21"/>
        </w:rPr>
        <w:t xml:space="preserve">  </w:t>
      </w:r>
    </w:p>
    <w:p w14:paraId="0456AC62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站在区域发展高度反思现实，即见树木又见森林</w:t>
      </w:r>
    </w:p>
    <w:p w14:paraId="47387599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理解政府的各项经济扶持政策与民生发展政策；</w:t>
      </w:r>
    </w:p>
    <w:p w14:paraId="042E0F2F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掌握以上核心理论与相关模型在现实工作中的应用；</w:t>
      </w:r>
    </w:p>
    <w:p w14:paraId="42C50B28">
      <w:pPr>
        <w:pStyle w:val="5"/>
        <w:rPr>
          <w:rFonts w:ascii="Calibri" w:hAnsi="Calibri"/>
        </w:rPr>
      </w:pPr>
      <w:bookmarkStart w:id="13" w:name="_Toc111197174"/>
      <w:r>
        <w:rPr>
          <w:rFonts w:ascii="Calibri" w:hAnsi="Calibri"/>
        </w:rPr>
        <w:t>3</w:t>
      </w:r>
      <w:r>
        <w:rPr>
          <w:rFonts w:hint="eastAsia"/>
        </w:rPr>
        <w:t>、实训课程的授课方式</w:t>
      </w:r>
      <w:bookmarkEnd w:id="13"/>
    </w:p>
    <w:p w14:paraId="702647A0">
      <w:pPr>
        <w:numPr>
          <w:ilvl w:val="0"/>
          <w:numId w:val="2"/>
        </w:numPr>
        <w:spacing w:line="360" w:lineRule="auto"/>
        <w:ind w:left="420" w:hangingChars="200"/>
        <w:jc w:val="left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可以作为专业认识实验课在大一、大二开设</w:t>
      </w:r>
      <w:r>
        <w:rPr>
          <w:rFonts w:ascii="宋体" w:hAnsi="宋体" w:cs="Calibri"/>
          <w:szCs w:val="21"/>
        </w:rPr>
        <w:t>(2-4</w:t>
      </w:r>
      <w:r>
        <w:rPr>
          <w:rFonts w:hint="eastAsia" w:ascii="宋体" w:hAnsi="宋体" w:cs="Calibri"/>
          <w:szCs w:val="21"/>
        </w:rPr>
        <w:t>天，</w:t>
      </w:r>
      <w:r>
        <w:rPr>
          <w:rFonts w:ascii="宋体" w:hAnsi="宋体" w:cs="Calibri"/>
          <w:szCs w:val="21"/>
        </w:rPr>
        <w:t>24-36</w:t>
      </w:r>
      <w:r>
        <w:rPr>
          <w:rFonts w:hint="eastAsia" w:ascii="宋体" w:hAnsi="宋体" w:cs="Calibri"/>
          <w:szCs w:val="21"/>
        </w:rPr>
        <w:t>个课时</w:t>
      </w:r>
      <w:r>
        <w:rPr>
          <w:rFonts w:ascii="宋体" w:hAnsi="宋体" w:cs="Calibri"/>
          <w:szCs w:val="21"/>
        </w:rPr>
        <w:t>)</w:t>
      </w:r>
    </w:p>
    <w:p w14:paraId="3F75D50E">
      <w:pPr>
        <w:numPr>
          <w:ilvl w:val="0"/>
          <w:numId w:val="2"/>
        </w:numPr>
        <w:spacing w:line="360" w:lineRule="auto"/>
        <w:ind w:left="420" w:hangingChars="200"/>
        <w:jc w:val="left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可以作为课程实验，在公共管理类核心专业课程作为</w:t>
      </w:r>
      <w:r>
        <w:rPr>
          <w:rFonts w:ascii="宋体" w:hAnsi="宋体" w:cs="Calibri"/>
          <w:szCs w:val="21"/>
        </w:rPr>
        <w:t>1</w:t>
      </w:r>
      <w:r>
        <w:rPr>
          <w:rFonts w:hint="eastAsia" w:ascii="宋体" w:hAnsi="宋体" w:cs="Calibri"/>
          <w:szCs w:val="21"/>
        </w:rPr>
        <w:t>或</w:t>
      </w:r>
      <w:r>
        <w:rPr>
          <w:rFonts w:ascii="宋体" w:hAnsi="宋体" w:cs="Calibri"/>
          <w:szCs w:val="21"/>
        </w:rPr>
        <w:t>2</w:t>
      </w:r>
      <w:r>
        <w:rPr>
          <w:rFonts w:hint="eastAsia" w:ascii="宋体" w:hAnsi="宋体" w:cs="Calibri"/>
          <w:szCs w:val="21"/>
        </w:rPr>
        <w:t>学分实验课开设</w:t>
      </w:r>
    </w:p>
    <w:p w14:paraId="110A0DF6">
      <w:pPr>
        <w:numPr>
          <w:ilvl w:val="0"/>
          <w:numId w:val="2"/>
        </w:numPr>
        <w:spacing w:line="360" w:lineRule="auto"/>
        <w:ind w:left="420" w:hangingChars="200"/>
        <w:jc w:val="left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可以作为专业毕业实训，在大四开设</w:t>
      </w:r>
    </w:p>
    <w:p w14:paraId="7DA7793E">
      <w:pPr>
        <w:numPr>
          <w:ilvl w:val="0"/>
          <w:numId w:val="2"/>
        </w:numPr>
        <w:spacing w:line="360" w:lineRule="auto"/>
        <w:ind w:left="420" w:hangingChars="200"/>
        <w:jc w:val="left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可以作为校内或校际竞赛，在学生活动中开展。</w:t>
      </w:r>
      <w:bookmarkStart w:id="14" w:name="_Toc306529600"/>
      <w:bookmarkEnd w:id="14"/>
    </w:p>
    <w:p w14:paraId="6E5ABBC4">
      <w:pPr>
        <w:pStyle w:val="5"/>
        <w:rPr>
          <w:rFonts w:ascii="Calibri" w:hAnsi="Calibri"/>
        </w:rPr>
      </w:pPr>
      <w:bookmarkStart w:id="15" w:name="_Toc361849262"/>
      <w:bookmarkEnd w:id="15"/>
      <w:bookmarkStart w:id="16" w:name="_Toc111197175"/>
      <w:r>
        <w:rPr>
          <w:rFonts w:ascii="Calibri" w:hAnsi="Calibri"/>
        </w:rPr>
        <w:t>4</w:t>
      </w:r>
      <w:r>
        <w:rPr>
          <w:rFonts w:hint="eastAsia"/>
        </w:rPr>
        <w:t>、实训涉及的基础课程</w:t>
      </w:r>
      <w:bookmarkEnd w:id="16"/>
    </w:p>
    <w:p w14:paraId="3A1D6F46">
      <w:pPr>
        <w:spacing w:line="360" w:lineRule="auto"/>
        <w:ind w:firstLine="420" w:firstLineChars="200"/>
        <w:jc w:val="left"/>
        <w:rPr>
          <w:rFonts w:ascii="宋体" w:cs="Calibri"/>
          <w:kern w:val="0"/>
          <w:szCs w:val="21"/>
        </w:rPr>
      </w:pPr>
      <w:r>
        <w:rPr>
          <w:rFonts w:hint="eastAsia" w:ascii="宋体" w:hAnsi="宋体" w:cs="Calibri"/>
          <w:kern w:val="0"/>
          <w:szCs w:val="21"/>
        </w:rPr>
        <w:t>《公共管理学》、《公共经济学》、《公共政策分析与决策》、《财政学》等。</w:t>
      </w:r>
    </w:p>
    <w:p w14:paraId="1A5A1574">
      <w:pPr>
        <w:pStyle w:val="5"/>
        <w:rPr>
          <w:rFonts w:ascii="Calibri" w:hAnsi="Calibri"/>
        </w:rPr>
      </w:pPr>
      <w:bookmarkStart w:id="17" w:name="_Toc361849263"/>
      <w:bookmarkEnd w:id="17"/>
      <w:bookmarkStart w:id="18" w:name="_Toc111197176"/>
      <w:r>
        <w:rPr>
          <w:rFonts w:ascii="Calibri" w:hAnsi="Calibri"/>
        </w:rPr>
        <w:t>5</w:t>
      </w:r>
      <w:r>
        <w:rPr>
          <w:rFonts w:hint="eastAsia"/>
        </w:rPr>
        <w:t>、实验考核</w:t>
      </w:r>
      <w:bookmarkEnd w:id="18"/>
    </w:p>
    <w:p w14:paraId="7A7B0E28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本次实验考核包括对团队考核和对学生个人考核两部分。</w:t>
      </w:r>
    </w:p>
    <w:p w14:paraId="1FE645EF">
      <w:pPr>
        <w:spacing w:line="360" w:lineRule="auto"/>
        <w:ind w:firstLine="422" w:firstLineChars="200"/>
        <w:rPr>
          <w:rFonts w:ascii="宋体" w:cs="宋体"/>
          <w:b/>
          <w:bCs/>
          <w:szCs w:val="21"/>
        </w:rPr>
      </w:pPr>
      <w:bookmarkStart w:id="19" w:name="_Toc361849264"/>
      <w:bookmarkEnd w:id="19"/>
      <w:bookmarkStart w:id="20" w:name="_Toc343859213"/>
      <w:bookmarkEnd w:id="20"/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）团队得分</w:t>
      </w:r>
    </w:p>
    <w:p w14:paraId="58136B0E">
      <w:pPr>
        <w:numPr>
          <w:ilvl w:val="0"/>
          <w:numId w:val="3"/>
        </w:numPr>
        <w:spacing w:line="360" w:lineRule="auto"/>
        <w:ind w:left="0"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新增就业占比</w:t>
      </w:r>
    </w:p>
    <w:p w14:paraId="6F1F0E56">
      <w:pPr>
        <w:numPr>
          <w:ilvl w:val="0"/>
          <w:numId w:val="3"/>
        </w:numPr>
        <w:spacing w:line="360" w:lineRule="auto"/>
        <w:ind w:left="0" w:firstLine="420" w:firstLineChars="200"/>
        <w:rPr>
          <w:rFonts w:ascii="宋体" w:cs="Arial"/>
          <w:szCs w:val="21"/>
        </w:rPr>
      </w:pPr>
      <w:r>
        <w:rPr>
          <w:rFonts w:hint="eastAsia" w:ascii="宋体" w:hAnsi="宋体" w:cs="宋体"/>
          <w:szCs w:val="21"/>
        </w:rPr>
        <w:t>企业活力指数</w:t>
      </w:r>
    </w:p>
    <w:p w14:paraId="5676C487">
      <w:pPr>
        <w:numPr>
          <w:ilvl w:val="0"/>
          <w:numId w:val="3"/>
        </w:numPr>
        <w:spacing w:line="360" w:lineRule="auto"/>
        <w:ind w:left="0" w:firstLine="420" w:firstLineChars="200"/>
        <w:rPr>
          <w:rFonts w:ascii="宋体" w:cs="Arial"/>
          <w:szCs w:val="21"/>
        </w:rPr>
      </w:pPr>
      <w:r>
        <w:rPr>
          <w:rFonts w:hint="eastAsia" w:ascii="宋体" w:hAnsi="宋体" w:cs="宋体"/>
          <w:szCs w:val="21"/>
        </w:rPr>
        <w:t>居民幸福值</w:t>
      </w:r>
    </w:p>
    <w:p w14:paraId="5F80BEED">
      <w:pPr>
        <w:numPr>
          <w:ilvl w:val="0"/>
          <w:numId w:val="3"/>
        </w:numPr>
        <w:spacing w:line="360" w:lineRule="auto"/>
        <w:ind w:left="0"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财政预算精确度</w:t>
      </w:r>
    </w:p>
    <w:p w14:paraId="6CC2AD3E">
      <w:pPr>
        <w:numPr>
          <w:ilvl w:val="0"/>
          <w:numId w:val="3"/>
        </w:numPr>
        <w:spacing w:line="360" w:lineRule="auto"/>
        <w:ind w:left="0" w:firstLine="420" w:firstLineChars="200"/>
        <w:rPr>
          <w:rFonts w:ascii="宋体" w:cs="Arial"/>
          <w:sz w:val="24"/>
          <w:szCs w:val="24"/>
        </w:rPr>
      </w:pPr>
      <w:r>
        <w:rPr>
          <w:rFonts w:hint="eastAsia" w:ascii="宋体" w:hAnsi="宋体" w:cs="宋体"/>
          <w:szCs w:val="21"/>
        </w:rPr>
        <w:t>抢答与实验报告</w:t>
      </w:r>
      <w:r>
        <w:rPr>
          <w:rFonts w:ascii="宋体" w:hAnsi="宋体" w:cs="Arial"/>
          <w:szCs w:val="21"/>
        </w:rPr>
        <w:t xml:space="preserve"> </w:t>
      </w:r>
      <w:r>
        <w:rPr>
          <w:rFonts w:ascii="宋体" w:hAnsi="宋体" w:cs="Arial"/>
          <w:sz w:val="24"/>
          <w:szCs w:val="24"/>
        </w:rPr>
        <w:t xml:space="preserve">                </w:t>
      </w:r>
    </w:p>
    <w:p w14:paraId="2FA14458">
      <w:pPr>
        <w:spacing w:line="360" w:lineRule="auto"/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）学生个人成绩</w:t>
      </w:r>
    </w:p>
    <w:p w14:paraId="69D921AB">
      <w:pPr>
        <w:numPr>
          <w:ilvl w:val="0"/>
          <w:numId w:val="4"/>
        </w:numPr>
        <w:spacing w:line="360" w:lineRule="auto"/>
        <w:ind w:left="0" w:firstLine="420" w:firstLineChars="200"/>
        <w:rPr>
          <w:rFonts w:ascii="宋体" w:cs="Arial"/>
          <w:szCs w:val="21"/>
        </w:rPr>
      </w:pPr>
      <w:r>
        <w:rPr>
          <w:rFonts w:hint="eastAsia" w:ascii="宋体" w:hAnsi="宋体"/>
          <w:szCs w:val="21"/>
        </w:rPr>
        <w:t>学生个人业绩评分</w:t>
      </w:r>
      <w:r>
        <w:rPr>
          <w:rFonts w:ascii="宋体" w:hAnsi="宋体"/>
          <w:szCs w:val="21"/>
        </w:rPr>
        <w:t>=</w:t>
      </w:r>
      <w:r>
        <w:rPr>
          <w:rFonts w:hint="eastAsia" w:ascii="宋体" w:hAnsi="宋体"/>
          <w:szCs w:val="21"/>
        </w:rPr>
        <w:t>团队得分</w:t>
      </w:r>
      <w:r>
        <w:rPr>
          <w:rFonts w:ascii="宋体" w:hAnsi="宋体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+ </w:t>
      </w:r>
      <w:r>
        <w:rPr>
          <w:rFonts w:hint="eastAsia" w:ascii="宋体" w:hAnsi="宋体"/>
          <w:szCs w:val="21"/>
        </w:rPr>
        <w:t>团队意识内部评价</w:t>
      </w:r>
      <w:r>
        <w:rPr>
          <w:rFonts w:ascii="宋体" w:hAnsi="宋体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+ </w:t>
      </w:r>
      <w:r>
        <w:rPr>
          <w:rFonts w:hint="eastAsia" w:ascii="宋体" w:hAnsi="宋体"/>
          <w:szCs w:val="21"/>
        </w:rPr>
        <w:t>出勤率</w:t>
      </w:r>
    </w:p>
    <w:p w14:paraId="11CA29A1">
      <w:pPr>
        <w:numPr>
          <w:ilvl w:val="0"/>
          <w:numId w:val="4"/>
        </w:numPr>
        <w:spacing w:line="360" w:lineRule="auto"/>
        <w:ind w:left="0"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出勤率：</w:t>
      </w:r>
      <w:r>
        <w:rPr>
          <w:rFonts w:hint="eastAsia" w:ascii="宋体" w:hAnsi="宋体"/>
          <w:szCs w:val="21"/>
          <w:lang w:val="en-US" w:eastAsia="zh-CN"/>
        </w:rPr>
        <w:t>默认</w:t>
      </w:r>
      <w:r>
        <w:rPr>
          <w:rFonts w:hint="eastAsia" w:ascii="宋体" w:hAnsi="宋体"/>
          <w:szCs w:val="21"/>
        </w:rPr>
        <w:t>病事假</w:t>
      </w:r>
      <w:r>
        <w:rPr>
          <w:rFonts w:ascii="宋体" w:hAnsi="宋体"/>
          <w:szCs w:val="21"/>
        </w:rPr>
        <w:t>/</w:t>
      </w:r>
      <w:r>
        <w:rPr>
          <w:rFonts w:hint="eastAsia" w:ascii="宋体" w:hAnsi="宋体"/>
          <w:szCs w:val="21"/>
        </w:rPr>
        <w:t>迟到</w:t>
      </w:r>
      <w:r>
        <w:rPr>
          <w:rFonts w:ascii="Times New Roman" w:hAnsi="Times New Roman"/>
          <w:szCs w:val="21"/>
        </w:rPr>
        <w:t>/</w:t>
      </w:r>
      <w:r>
        <w:rPr>
          <w:rFonts w:hint="eastAsia" w:ascii="宋体" w:hAnsi="宋体"/>
          <w:szCs w:val="21"/>
        </w:rPr>
        <w:t>早退扣</w:t>
      </w:r>
      <w:r>
        <w:rPr>
          <w:rFonts w:ascii="Times New Roman" w:hAnsi="Times New Roman"/>
          <w:szCs w:val="21"/>
        </w:rPr>
        <w:t>2</w:t>
      </w:r>
      <w:r>
        <w:rPr>
          <w:rFonts w:hint="eastAsia" w:ascii="宋体" w:hAnsi="宋体"/>
          <w:szCs w:val="21"/>
        </w:rPr>
        <w:t>分</w:t>
      </w:r>
      <w:r>
        <w:rPr>
          <w:rFonts w:ascii="Times New Roman" w:hAnsi="Times New Roman"/>
          <w:szCs w:val="21"/>
        </w:rPr>
        <w:t>/</w:t>
      </w:r>
      <w:r>
        <w:rPr>
          <w:rFonts w:hint="eastAsia" w:ascii="宋体" w:hAnsi="宋体"/>
          <w:szCs w:val="21"/>
        </w:rPr>
        <w:t>次，缺席</w:t>
      </w:r>
      <w:r>
        <w:rPr>
          <w:rFonts w:ascii="Times New Roman" w:hAnsi="Times New Roman"/>
          <w:szCs w:val="21"/>
        </w:rPr>
        <w:t>5</w:t>
      </w:r>
      <w:r>
        <w:rPr>
          <w:rFonts w:hint="eastAsia" w:ascii="宋体" w:hAnsi="宋体"/>
          <w:szCs w:val="21"/>
        </w:rPr>
        <w:t>分</w:t>
      </w:r>
      <w:r>
        <w:rPr>
          <w:rFonts w:ascii="Times New Roman" w:hAnsi="Times New Roman"/>
          <w:szCs w:val="21"/>
        </w:rPr>
        <w:t>/</w:t>
      </w:r>
      <w:r>
        <w:rPr>
          <w:rFonts w:hint="eastAsia" w:ascii="宋体" w:hAnsi="宋体"/>
          <w:szCs w:val="21"/>
        </w:rPr>
        <w:t>半天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老师可自定义配置扣分分值</w:t>
      </w:r>
      <w:r>
        <w:rPr>
          <w:rFonts w:hint="eastAsia" w:ascii="宋体" w:hAnsi="宋体"/>
          <w:szCs w:val="21"/>
          <w:lang w:eastAsia="zh-CN"/>
        </w:rPr>
        <w:t>）</w:t>
      </w:r>
    </w:p>
    <w:p w14:paraId="4AF55F77">
      <w:pPr>
        <w:pStyle w:val="5"/>
      </w:pPr>
      <w:bookmarkStart w:id="21" w:name="_Toc111197177"/>
      <w:r>
        <w:t>6</w:t>
      </w:r>
      <w:r>
        <w:rPr>
          <w:rFonts w:hint="eastAsia"/>
        </w:rPr>
        <w:t>、实验报告的格式</w:t>
      </w:r>
      <w:bookmarkEnd w:id="21"/>
    </w:p>
    <w:p w14:paraId="485229AC">
      <w:pPr>
        <w:tabs>
          <w:tab w:val="left" w:pos="420"/>
        </w:tabs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（本</w:t>
      </w:r>
      <w:r>
        <w:rPr>
          <w:rFonts w:hint="eastAsia" w:ascii="宋体" w:hAnsi="宋体"/>
          <w:szCs w:val="21"/>
          <w:lang w:eastAsia="zh-CN"/>
        </w:rPr>
        <w:t>部分</w:t>
      </w:r>
      <w:r>
        <w:rPr>
          <w:rFonts w:hint="eastAsia" w:ascii="宋体" w:hAnsi="宋体"/>
          <w:szCs w:val="21"/>
        </w:rPr>
        <w:t>请各学院按此格式，学生统一使用，实验完毕后，根据预习和实验中的现象及数据记录等，及时而认真地写出实验报告，教师批改下发学生，实验考试完毕后实验室收回存档）</w:t>
      </w:r>
    </w:p>
    <w:p w14:paraId="7098145D">
      <w:pPr>
        <w:tabs>
          <w:tab w:val="left" w:pos="420"/>
        </w:tabs>
        <w:spacing w:line="360" w:lineRule="auto"/>
        <w:ind w:firstLine="420" w:firstLineChars="200"/>
        <w:jc w:val="center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实验名称</w:t>
      </w:r>
    </w:p>
    <w:p w14:paraId="1ADFE614">
      <w:pPr>
        <w:tabs>
          <w:tab w:val="left" w:pos="420"/>
        </w:tabs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（一）实验目的：</w:t>
      </w:r>
    </w:p>
    <w:p w14:paraId="181E0E81">
      <w:pPr>
        <w:tabs>
          <w:tab w:val="left" w:pos="420"/>
        </w:tabs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（二）主要仪器设备及教具：列出实验中主要使用的仪器设备及教具</w:t>
      </w:r>
    </w:p>
    <w:p w14:paraId="07A15AFE">
      <w:pPr>
        <w:tabs>
          <w:tab w:val="left" w:pos="420"/>
        </w:tabs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（三）内容及程序：简明扼要写出实验步骤及流程</w:t>
      </w:r>
    </w:p>
    <w:p w14:paraId="296D234E">
      <w:pPr>
        <w:tabs>
          <w:tab w:val="left" w:pos="420"/>
        </w:tabs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（四）结果与分析：应用文字、表格、图形等将数据表示出来，根据实验要求对数据进行分析讨论和误差处理</w:t>
      </w:r>
    </w:p>
    <w:p w14:paraId="4FD03B6E">
      <w:pPr>
        <w:tabs>
          <w:tab w:val="left" w:pos="420"/>
        </w:tabs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（五）问题讨论：结合所学理论知识，对实验中的现象、数据、失误等进行分析和讨论，以提高自己分析问题和解决问题的能力并提出应注意的事项，为以后的课程学习打下基础</w:t>
      </w:r>
    </w:p>
    <w:p w14:paraId="0AF9864B">
      <w:pPr>
        <w:pStyle w:val="4"/>
        <w:rPr>
          <w:rFonts w:ascii="Arial" w:hAnsi="Arial"/>
        </w:rPr>
      </w:pPr>
      <w:bookmarkStart w:id="22" w:name="_Toc111197178"/>
      <w:r>
        <w:rPr>
          <w:rFonts w:hint="eastAsia"/>
        </w:rPr>
        <w:t>三、实验内容与项目概述</w:t>
      </w:r>
      <w:bookmarkEnd w:id="22"/>
    </w:p>
    <w:p w14:paraId="6299344E">
      <w:pPr>
        <w:spacing w:line="360" w:lineRule="auto"/>
        <w:ind w:firstLine="420" w:firstLine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本次实验内容与项目涵盖六大单元，包括：</w:t>
      </w:r>
    </w:p>
    <w:p w14:paraId="3D44741B">
      <w:pPr>
        <w:numPr>
          <w:ilvl w:val="0"/>
          <w:numId w:val="5"/>
        </w:numPr>
        <w:spacing w:line="360" w:lineRule="auto"/>
        <w:ind w:left="840" w:firstLine="420" w:firstLineChars="200"/>
        <w:rPr>
          <w:rFonts w:hint="eastAsia" w:ascii="Wingdings" w:hAnsi="Wingdings" w:cs="宋体"/>
          <w:szCs w:val="21"/>
        </w:rPr>
      </w:pPr>
      <w:r>
        <w:rPr>
          <w:rFonts w:hint="eastAsia" w:ascii="宋体" w:hAnsi="宋体" w:cs="宋体"/>
          <w:szCs w:val="21"/>
        </w:rPr>
        <w:t>公共管理环境认知与四大职能实验</w:t>
      </w:r>
      <w:r>
        <w:rPr>
          <w:rFonts w:ascii="宋体" w:hAnsi="宋体" w:cs="宋体"/>
          <w:szCs w:val="21"/>
        </w:rPr>
        <w:t xml:space="preserve"> </w:t>
      </w:r>
    </w:p>
    <w:p w14:paraId="257338AC">
      <w:pPr>
        <w:numPr>
          <w:ilvl w:val="0"/>
          <w:numId w:val="5"/>
        </w:numPr>
        <w:spacing w:line="360" w:lineRule="auto"/>
        <w:ind w:left="840" w:firstLine="420" w:firstLineChars="200"/>
        <w:rPr>
          <w:rFonts w:hint="eastAsia" w:ascii="Wingdings" w:hAnsi="Wingdings" w:cs="宋体"/>
          <w:szCs w:val="21"/>
        </w:rPr>
      </w:pPr>
      <w:r>
        <w:rPr>
          <w:rFonts w:hint="eastAsia" w:ascii="宋体" w:hAnsi="宋体" w:cs="宋体"/>
          <w:szCs w:val="21"/>
        </w:rPr>
        <w:t>公共政策设计、执行和评估实验</w:t>
      </w:r>
      <w:r>
        <w:rPr>
          <w:rFonts w:ascii="宋体" w:hAnsi="宋体" w:cs="宋体"/>
          <w:szCs w:val="21"/>
        </w:rPr>
        <w:t xml:space="preserve"> </w:t>
      </w:r>
    </w:p>
    <w:p w14:paraId="25FCD514">
      <w:pPr>
        <w:numPr>
          <w:ilvl w:val="0"/>
          <w:numId w:val="5"/>
        </w:numPr>
        <w:spacing w:line="360" w:lineRule="auto"/>
        <w:ind w:left="840" w:firstLine="420" w:firstLineChars="200"/>
        <w:rPr>
          <w:rFonts w:hint="eastAsia" w:ascii="Wingdings" w:hAnsi="Wingdings" w:cs="宋体"/>
          <w:szCs w:val="21"/>
        </w:rPr>
      </w:pPr>
      <w:r>
        <w:rPr>
          <w:rFonts w:hint="eastAsia" w:ascii="宋体" w:hAnsi="宋体" w:cs="宋体"/>
          <w:szCs w:val="21"/>
        </w:rPr>
        <w:t>公共财政管理实验</w:t>
      </w:r>
      <w:r>
        <w:rPr>
          <w:rFonts w:ascii="宋体" w:hAnsi="宋体" w:cs="宋体"/>
          <w:szCs w:val="21"/>
        </w:rPr>
        <w:t xml:space="preserve"> </w:t>
      </w:r>
    </w:p>
    <w:p w14:paraId="34BA3262">
      <w:pPr>
        <w:numPr>
          <w:ilvl w:val="0"/>
          <w:numId w:val="5"/>
        </w:numPr>
        <w:spacing w:line="360" w:lineRule="auto"/>
        <w:ind w:left="840" w:firstLine="420" w:firstLineChars="200"/>
        <w:rPr>
          <w:rFonts w:hint="eastAsia" w:ascii="Wingdings" w:hAnsi="Wingdings" w:cs="宋体"/>
          <w:szCs w:val="21"/>
        </w:rPr>
      </w:pPr>
      <w:r>
        <w:rPr>
          <w:rFonts w:hint="eastAsia" w:ascii="宋体" w:hAnsi="宋体" w:cs="宋体"/>
          <w:szCs w:val="21"/>
        </w:rPr>
        <w:t>政府绩效管理实验</w:t>
      </w:r>
    </w:p>
    <w:p w14:paraId="424063BC">
      <w:pPr>
        <w:numPr>
          <w:ilvl w:val="0"/>
          <w:numId w:val="5"/>
        </w:numPr>
        <w:spacing w:line="360" w:lineRule="auto"/>
        <w:ind w:left="840" w:firstLine="420" w:firstLineChars="200"/>
        <w:rPr>
          <w:rFonts w:hint="eastAsia" w:ascii="Wingdings" w:hAnsi="Wingdings" w:cs="宋体"/>
          <w:szCs w:val="21"/>
        </w:rPr>
      </w:pPr>
      <w:r>
        <w:rPr>
          <w:rFonts w:hint="eastAsia" w:ascii="宋体" w:hAnsi="宋体" w:cs="宋体"/>
          <w:szCs w:val="21"/>
        </w:rPr>
        <w:t>企业型政府与公共管理变革创新实验</w:t>
      </w:r>
    </w:p>
    <w:p w14:paraId="0C95EF67">
      <w:pPr>
        <w:numPr>
          <w:ilvl w:val="0"/>
          <w:numId w:val="5"/>
        </w:numPr>
        <w:spacing w:line="360" w:lineRule="auto"/>
        <w:ind w:left="840" w:firstLine="420" w:firstLineChars="200"/>
        <w:rPr>
          <w:rFonts w:hint="eastAsia" w:ascii="Wingdings" w:hAnsi="Wingdings" w:cs="宋体"/>
          <w:szCs w:val="21"/>
        </w:rPr>
      </w:pPr>
      <w:r>
        <w:rPr>
          <w:rFonts w:hint="eastAsia" w:ascii="宋体" w:hAnsi="宋体" w:cs="宋体"/>
          <w:szCs w:val="21"/>
        </w:rPr>
        <w:t>危机管理与政府决策实验</w:t>
      </w:r>
    </w:p>
    <w:p w14:paraId="0DA5ED54">
      <w:pPr>
        <w:pStyle w:val="5"/>
      </w:pPr>
      <w:bookmarkStart w:id="23" w:name="_Toc361848654"/>
      <w:bookmarkEnd w:id="23"/>
      <w:bookmarkStart w:id="24" w:name="_Toc111197179"/>
      <w:r>
        <w:t>1</w:t>
      </w:r>
      <w:r>
        <w:rPr>
          <w:rFonts w:hint="eastAsia"/>
        </w:rPr>
        <w:t>、公共管理环境认知与四大职能实验</w:t>
      </w:r>
      <w:bookmarkEnd w:id="24"/>
    </w:p>
    <w:p w14:paraId="3C8C48EE">
      <w:pPr>
        <w:spacing w:line="360" w:lineRule="auto"/>
        <w:ind w:firstLine="360" w:firstLineChars="200"/>
        <w:jc w:val="center"/>
        <w:rPr>
          <w:rFonts w:asci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表</w:t>
      </w:r>
      <w:r>
        <w:rPr>
          <w:rFonts w:ascii="宋体" w:hAnsi="宋体" w:cs="宋体"/>
          <w:sz w:val="18"/>
          <w:szCs w:val="18"/>
        </w:rPr>
        <w:t xml:space="preserve">1 </w:t>
      </w:r>
      <w:r>
        <w:rPr>
          <w:rFonts w:hint="eastAsia" w:ascii="宋体" w:hAnsi="宋体" w:cs="宋体"/>
          <w:sz w:val="18"/>
          <w:szCs w:val="18"/>
        </w:rPr>
        <w:t>公共管理环境认知与四大职能实验项目</w:t>
      </w:r>
    </w:p>
    <w:tbl>
      <w:tblPr>
        <w:tblStyle w:val="22"/>
        <w:tblW w:w="82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1082"/>
        <w:gridCol w:w="4337"/>
        <w:gridCol w:w="1401"/>
      </w:tblGrid>
      <w:tr w14:paraId="666FA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14193207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一级模块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761190F0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二级模块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5A11FEDB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实验项目名称</w:t>
            </w:r>
          </w:p>
        </w:tc>
        <w:tc>
          <w:tcPr>
            <w:tcW w:w="1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2A73E508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涉及知识点</w:t>
            </w:r>
          </w:p>
        </w:tc>
      </w:tr>
      <w:tr w14:paraId="10FC19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4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E3464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Courier New" w:cs="Courier New"/>
                <w:sz w:val="18"/>
                <w:szCs w:val="18"/>
              </w:rPr>
              <w:t>公共管理环境认知与四大职能实验</w:t>
            </w:r>
          </w:p>
          <w:p w14:paraId="0F6F125F">
            <w:pPr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41EEB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区域环境调研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596D8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Courier New" w:cs="Courier New"/>
                <w:sz w:val="18"/>
                <w:szCs w:val="18"/>
              </w:rPr>
              <w:t>认识公共管理环境，人口、地理、交通、产业、文化环境对公共管理的影响</w:t>
            </w:r>
          </w:p>
        </w:tc>
        <w:tc>
          <w:tcPr>
            <w:tcW w:w="1401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A73397">
            <w:pPr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公共管理基本职能</w:t>
            </w:r>
          </w:p>
        </w:tc>
      </w:tr>
      <w:tr w14:paraId="6CF8E1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E15B0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B30FD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导入培训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DF806">
            <w:pPr>
              <w:rPr>
                <w:rFonts w:ascii="宋体" w:cs="Courier New"/>
                <w:spacing w:val="10"/>
                <w:sz w:val="18"/>
                <w:szCs w:val="18"/>
              </w:rPr>
            </w:pPr>
            <w:r>
              <w:rPr>
                <w:rFonts w:hint="eastAsia" w:cs="Courier New"/>
                <w:sz w:val="18"/>
                <w:szCs w:val="18"/>
              </w:rPr>
              <w:t>认识计划、组织、协调和控制四大公共管理基本职能在本实验中的应用</w:t>
            </w:r>
          </w:p>
        </w:tc>
        <w:tc>
          <w:tcPr>
            <w:tcW w:w="140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9D86C3">
            <w:pPr>
              <w:widowControl/>
              <w:jc w:val="left"/>
              <w:rPr>
                <w:rFonts w:cs="宋体"/>
                <w:sz w:val="18"/>
                <w:szCs w:val="18"/>
              </w:rPr>
            </w:pPr>
          </w:p>
        </w:tc>
      </w:tr>
      <w:tr w14:paraId="4406D9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8C5F4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3EF17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实验准备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93FAC">
            <w:pPr>
              <w:rPr>
                <w:rFonts w:ascii="宋体" w:cs="Courier New"/>
                <w:spacing w:val="10"/>
                <w:sz w:val="18"/>
                <w:szCs w:val="18"/>
              </w:rPr>
            </w:pPr>
            <w:r>
              <w:rPr>
                <w:rFonts w:hint="eastAsia" w:ascii="宋体" w:hAnsi="Courier New" w:cs="Courier New"/>
                <w:sz w:val="18"/>
                <w:szCs w:val="18"/>
              </w:rPr>
              <w:t>区情调研方法与范围</w:t>
            </w:r>
          </w:p>
        </w:tc>
        <w:tc>
          <w:tcPr>
            <w:tcW w:w="1401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0FE3C">
            <w:pPr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公共管理环境</w:t>
            </w:r>
          </w:p>
          <w:p w14:paraId="78ABB615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14:paraId="701F2F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13B6D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B35BF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4B257">
            <w:pPr>
              <w:rPr>
                <w:rFonts w:ascii="宋体" w:cs="Courier New"/>
                <w:spacing w:val="10"/>
                <w:sz w:val="18"/>
                <w:szCs w:val="18"/>
              </w:rPr>
            </w:pPr>
            <w:r>
              <w:rPr>
                <w:rFonts w:hint="eastAsia" w:cs="Courier New"/>
                <w:sz w:val="18"/>
                <w:szCs w:val="18"/>
              </w:rPr>
              <w:t>分析外部环境对公共管理机构的生存、发展、制约与影响</w:t>
            </w:r>
          </w:p>
        </w:tc>
        <w:tc>
          <w:tcPr>
            <w:tcW w:w="140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6E142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1A1018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36A1B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A1E41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3EA90">
            <w:pPr>
              <w:rPr>
                <w:rFonts w:ascii="宋体" w:cs="Courier New"/>
                <w:spacing w:val="10"/>
                <w:sz w:val="18"/>
                <w:szCs w:val="18"/>
              </w:rPr>
            </w:pPr>
            <w:r>
              <w:rPr>
                <w:rFonts w:hint="eastAsia" w:ascii="宋体" w:hAnsi="Courier New" w:cs="Courier New"/>
                <w:sz w:val="18"/>
                <w:szCs w:val="18"/>
              </w:rPr>
              <w:t>确定区情调研主要数据来源</w:t>
            </w:r>
          </w:p>
        </w:tc>
        <w:tc>
          <w:tcPr>
            <w:tcW w:w="140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1C341A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22638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62A17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EB45E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实验实施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8D30D">
            <w:pPr>
              <w:rPr>
                <w:rFonts w:ascii="宋体" w:cs="Courier New"/>
                <w:spacing w:val="10"/>
                <w:sz w:val="18"/>
                <w:szCs w:val="18"/>
              </w:rPr>
            </w:pPr>
            <w:r>
              <w:rPr>
                <w:rFonts w:hint="eastAsia" w:ascii="宋体" w:hAnsi="Courier New" w:cs="Courier New"/>
                <w:sz w:val="18"/>
                <w:szCs w:val="18"/>
              </w:rPr>
              <w:t>筛选能够体现区域区情的主要环境指标</w:t>
            </w:r>
          </w:p>
        </w:tc>
        <w:tc>
          <w:tcPr>
            <w:tcW w:w="140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ADACF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6A396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15055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89A6A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ACF371">
            <w:pPr>
              <w:rPr>
                <w:rFonts w:ascii="宋体" w:cs="Courier New"/>
                <w:spacing w:val="10"/>
                <w:sz w:val="18"/>
                <w:szCs w:val="18"/>
              </w:rPr>
            </w:pPr>
            <w:r>
              <w:rPr>
                <w:rFonts w:hint="eastAsia" w:ascii="宋体" w:hAnsi="Courier New" w:cs="Courier New"/>
                <w:sz w:val="18"/>
                <w:szCs w:val="18"/>
              </w:rPr>
              <w:t>计划本次区情调研，组员职责分工</w:t>
            </w:r>
          </w:p>
        </w:tc>
        <w:tc>
          <w:tcPr>
            <w:tcW w:w="140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074401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76E61C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A640D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DDDD5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C18DC">
            <w:pPr>
              <w:rPr>
                <w:rFonts w:ascii="宋体" w:cs="Courier New"/>
                <w:spacing w:val="10"/>
                <w:sz w:val="18"/>
                <w:szCs w:val="18"/>
              </w:rPr>
            </w:pPr>
            <w:r>
              <w:rPr>
                <w:rFonts w:hint="eastAsia" w:ascii="宋体" w:hAnsi="Courier New" w:cs="Courier New"/>
                <w:sz w:val="18"/>
                <w:szCs w:val="18"/>
              </w:rPr>
              <w:t>组织具体数据搜集，确定完成时限</w:t>
            </w:r>
          </w:p>
        </w:tc>
        <w:tc>
          <w:tcPr>
            <w:tcW w:w="140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4FA89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5CE024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78695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6B10E5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46DD9">
            <w:pPr>
              <w:rPr>
                <w:rFonts w:ascii="宋体" w:hAnsi="Courier New" w:cs="Courier New"/>
                <w:sz w:val="18"/>
                <w:szCs w:val="18"/>
              </w:rPr>
            </w:pPr>
            <w:r>
              <w:rPr>
                <w:rFonts w:hint="eastAsia" w:ascii="宋体" w:hAnsi="Courier New" w:cs="Courier New"/>
                <w:sz w:val="18"/>
                <w:szCs w:val="18"/>
              </w:rPr>
              <w:t>对数据搜集中遇到的困难进行协调</w:t>
            </w:r>
          </w:p>
        </w:tc>
        <w:tc>
          <w:tcPr>
            <w:tcW w:w="140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71612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0AD7BB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B3D01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C96F7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4E446">
            <w:pPr>
              <w:rPr>
                <w:rFonts w:ascii="宋体" w:cs="Courier New"/>
                <w:spacing w:val="10"/>
                <w:sz w:val="18"/>
                <w:szCs w:val="18"/>
              </w:rPr>
            </w:pPr>
            <w:r>
              <w:rPr>
                <w:rFonts w:hint="eastAsia" w:ascii="宋体" w:hAnsi="Courier New" w:cs="Courier New"/>
                <w:sz w:val="18"/>
                <w:szCs w:val="18"/>
              </w:rPr>
              <w:t>对数据真实性检验，分析环境对后期公共管理运作的影响</w:t>
            </w:r>
          </w:p>
        </w:tc>
        <w:tc>
          <w:tcPr>
            <w:tcW w:w="140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961E8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7F580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E0235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32FAF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实验总结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980298">
            <w:pPr>
              <w:rPr>
                <w:rFonts w:ascii="宋体" w:cs="Courier New"/>
                <w:spacing w:val="10"/>
                <w:sz w:val="18"/>
                <w:szCs w:val="18"/>
              </w:rPr>
            </w:pPr>
            <w:r>
              <w:rPr>
                <w:rFonts w:hint="eastAsia" w:ascii="宋体" w:hAnsi="Courier New" w:cs="Courier New"/>
                <w:sz w:val="18"/>
                <w:szCs w:val="18"/>
              </w:rPr>
              <w:t>比较各区域发展水平，讨论公共环境对区域发展的影响</w:t>
            </w:r>
          </w:p>
        </w:tc>
        <w:tc>
          <w:tcPr>
            <w:tcW w:w="140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B89C4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2235C2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8EEB5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0DFA0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B3DF4">
            <w:pPr>
              <w:rPr>
                <w:rFonts w:ascii="宋体" w:cs="Courier New"/>
                <w:spacing w:val="10"/>
                <w:sz w:val="18"/>
                <w:szCs w:val="18"/>
              </w:rPr>
            </w:pPr>
            <w:r>
              <w:rPr>
                <w:rFonts w:hint="eastAsia" w:ascii="宋体" w:hAnsi="Courier New" w:cs="Courier New"/>
                <w:sz w:val="18"/>
                <w:szCs w:val="18"/>
              </w:rPr>
              <w:t>计划、组织、协调和控制职能在本实验中应用</w:t>
            </w:r>
          </w:p>
        </w:tc>
        <w:tc>
          <w:tcPr>
            <w:tcW w:w="140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B6B7C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</w:tbl>
    <w:p w14:paraId="300D7357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</w:p>
    <w:p w14:paraId="19A7A3AC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）实验流程（工作程序）</w:t>
      </w:r>
    </w:p>
    <w:p w14:paraId="69BB1EF7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建立</w:t>
      </w:r>
      <w:r>
        <w:rPr>
          <w:rFonts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</w:rPr>
        <w:t>支团队（每队均由</w:t>
      </w:r>
      <w:r>
        <w:rPr>
          <w:rFonts w:ascii="宋体" w:hAnsi="宋体" w:cs="宋体"/>
          <w:szCs w:val="21"/>
        </w:rPr>
        <w:t>4</w:t>
      </w:r>
      <w:bookmarkStart w:id="59" w:name="_GoBack"/>
      <w:r>
        <w:rPr>
          <w:rFonts w:ascii="宋体" w:hAnsi="宋体" w:cs="宋体"/>
          <w:szCs w:val="21"/>
        </w:rPr>
        <w:t>-</w:t>
      </w:r>
      <w:bookmarkEnd w:id="59"/>
      <w:r>
        <w:rPr>
          <w:rFonts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</w:rPr>
        <w:t>人组成），分别确定</w:t>
      </w:r>
      <w:r>
        <w:rPr>
          <w:rFonts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</w:rPr>
        <w:t>支团队代表的</w:t>
      </w:r>
      <w:r>
        <w:rPr>
          <w:rFonts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</w:rPr>
        <w:t>个不同区域地方政府。</w:t>
      </w:r>
    </w:p>
    <w:p w14:paraId="577F3838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规则介绍、破冰起航</w:t>
      </w:r>
    </w:p>
    <w:p w14:paraId="2B614B2E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职责分工：分别扮演当地招商局、发改局、土地局、财政局、人保局、环保局与公共事业局的一员</w:t>
      </w:r>
    </w:p>
    <w:p w14:paraId="5FA9CC09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组织区情调研，搜集当地上年财政收入、区域特色企业的行业分布与产业、</w:t>
      </w:r>
      <w:r>
        <w:rPr>
          <w:rFonts w:ascii="宋体" w:hAnsi="宋体" w:cs="宋体"/>
          <w:szCs w:val="21"/>
        </w:rPr>
        <w:t>GDP</w:t>
      </w:r>
      <w:r>
        <w:rPr>
          <w:rFonts w:hint="eastAsia" w:ascii="宋体" w:hAnsi="宋体" w:cs="宋体"/>
          <w:szCs w:val="21"/>
        </w:rPr>
        <w:t>、常住人口数据、地理、交通情况、特色资源。</w:t>
      </w:r>
    </w:p>
    <w:p w14:paraId="37C5B549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分析区域代表性企业与同行业上市企业差距：投资金额、建设周期、产品与服务、用地规模、用地属性、销售额、原料成本、上缴税金、员工数量。</w:t>
      </w:r>
    </w:p>
    <w:p w14:paraId="7F3F66A7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）实验成果</w:t>
      </w:r>
    </w:p>
    <w:p w14:paraId="470894F5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各区域发展情况与公共环境的关系</w:t>
      </w:r>
    </w:p>
    <w:p w14:paraId="37C19FCC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本次公共环境调研如何体现计划、组织、协调、控制四大职能</w:t>
      </w:r>
    </w:p>
    <w:p w14:paraId="55193462">
      <w:pPr>
        <w:pStyle w:val="5"/>
      </w:pPr>
      <w:bookmarkStart w:id="25" w:name="_Toc361848655"/>
      <w:bookmarkEnd w:id="25"/>
      <w:bookmarkStart w:id="26" w:name="_Toc111197180"/>
      <w:r>
        <w:t>2</w:t>
      </w:r>
      <w:r>
        <w:rPr>
          <w:rFonts w:hint="eastAsia"/>
        </w:rPr>
        <w:t>、公共政策设计、执行和评估实验</w:t>
      </w:r>
      <w:bookmarkEnd w:id="26"/>
    </w:p>
    <w:p w14:paraId="21576D84">
      <w:pPr>
        <w:spacing w:line="360" w:lineRule="auto"/>
        <w:ind w:firstLine="360" w:firstLineChars="200"/>
        <w:jc w:val="center"/>
        <w:rPr>
          <w:rFonts w:asci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表</w:t>
      </w:r>
      <w:r>
        <w:rPr>
          <w:rFonts w:ascii="宋体" w:hAnsi="宋体" w:cs="宋体"/>
          <w:sz w:val="18"/>
          <w:szCs w:val="18"/>
        </w:rPr>
        <w:t>2</w:t>
      </w:r>
      <w:r>
        <w:rPr>
          <w:rFonts w:hint="eastAsia" w:ascii="宋体" w:hAnsi="宋体" w:cs="宋体"/>
          <w:sz w:val="18"/>
          <w:szCs w:val="18"/>
        </w:rPr>
        <w:t>公共政策设计、执行和评估实验项目</w:t>
      </w:r>
    </w:p>
    <w:tbl>
      <w:tblPr>
        <w:tblStyle w:val="22"/>
        <w:tblW w:w="83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1082"/>
        <w:gridCol w:w="4337"/>
        <w:gridCol w:w="1484"/>
      </w:tblGrid>
      <w:tr w14:paraId="6FB13D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71340FCB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一级模块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0AA9BB88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二级模块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180C37DB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实验项目名称</w:t>
            </w:r>
          </w:p>
        </w:tc>
        <w:tc>
          <w:tcPr>
            <w:tcW w:w="14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3559F51E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涉及知识点</w:t>
            </w:r>
          </w:p>
        </w:tc>
      </w:tr>
      <w:tr w14:paraId="7A32BD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14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01910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公共政策设计、执行和评估实验</w:t>
            </w:r>
          </w:p>
          <w:p w14:paraId="7C54061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315DD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导入培训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DD6815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公共管理中的政府角色与政府职能</w:t>
            </w:r>
          </w:p>
        </w:tc>
        <w:tc>
          <w:tcPr>
            <w:tcW w:w="14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9E821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公共管理视野中的政府角色</w:t>
            </w:r>
          </w:p>
        </w:tc>
      </w:tr>
      <w:tr w14:paraId="671613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97B90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B736B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实验准备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774E46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了解并掌握公共政策的性质类型</w:t>
            </w:r>
          </w:p>
        </w:tc>
        <w:tc>
          <w:tcPr>
            <w:tcW w:w="1484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391C1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公共政策设计、执行和评估</w:t>
            </w:r>
          </w:p>
          <w:p w14:paraId="79C0091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7BF32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9F88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75CD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12BCC7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掌握政策规划、设计和政策评估的一般标准</w:t>
            </w:r>
          </w:p>
        </w:tc>
        <w:tc>
          <w:tcPr>
            <w:tcW w:w="148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F2FEE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48C33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187B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64E3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DBEA8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公共政策问题的建构</w:t>
            </w:r>
          </w:p>
        </w:tc>
        <w:tc>
          <w:tcPr>
            <w:tcW w:w="148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FF25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056FF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A70F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9520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0CC7E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政策规划的基本步骤</w:t>
            </w:r>
          </w:p>
        </w:tc>
        <w:tc>
          <w:tcPr>
            <w:tcW w:w="148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BB81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7EEC5D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E32E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776D6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实验实施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A73FB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对区域资源、区域人口、产业等情况进行分析</w:t>
            </w:r>
          </w:p>
        </w:tc>
        <w:tc>
          <w:tcPr>
            <w:tcW w:w="148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4707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042FDF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B76D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9C1F7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86E6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对比公共服务与公共管理绩效指标，确定公共政策的目标</w:t>
            </w:r>
          </w:p>
        </w:tc>
        <w:tc>
          <w:tcPr>
            <w:tcW w:w="148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C5FA37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209A75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F8A0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5FC2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E02AD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制定公共事业、产业服务的政策措施</w:t>
            </w:r>
          </w:p>
        </w:tc>
        <w:tc>
          <w:tcPr>
            <w:tcW w:w="148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E0CC0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1E47F9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D666E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B99A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D90BE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模拟不同岗位政策执行要点</w:t>
            </w:r>
          </w:p>
        </w:tc>
        <w:tc>
          <w:tcPr>
            <w:tcW w:w="148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3881A">
            <w:pPr>
              <w:widowControl/>
              <w:ind w:firstLine="360" w:firstLineChars="200"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291E0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E8D5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CBFC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17E57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对比政策目标，评估公共政策执行效果</w:t>
            </w:r>
          </w:p>
        </w:tc>
        <w:tc>
          <w:tcPr>
            <w:tcW w:w="148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62603">
            <w:pPr>
              <w:widowControl/>
              <w:ind w:firstLine="360" w:firstLineChars="200"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72682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BE43E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AFE345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实验总结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8797E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不同区域环境下政策目标与措施差异化</w:t>
            </w:r>
          </w:p>
        </w:tc>
        <w:tc>
          <w:tcPr>
            <w:tcW w:w="148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2958DD">
            <w:pPr>
              <w:widowControl/>
              <w:ind w:firstLine="360" w:firstLineChars="200"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437759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FA4F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81290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4705A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影响公共政策执行的因素</w:t>
            </w:r>
          </w:p>
        </w:tc>
        <w:tc>
          <w:tcPr>
            <w:tcW w:w="148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4B7C1">
            <w:pPr>
              <w:widowControl/>
              <w:ind w:firstLine="360" w:firstLineChars="200"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</w:tbl>
    <w:p w14:paraId="310A37A9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 xml:space="preserve"> </w:t>
      </w:r>
    </w:p>
    <w:p w14:paraId="7D2F0B3D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）实验流程（工作程序）：</w:t>
      </w:r>
    </w:p>
    <w:p w14:paraId="766DA4DC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确定要素禀赋：分析本区域的资源、人口、产业环境</w:t>
      </w:r>
    </w:p>
    <w:p w14:paraId="7083B3C3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在竞争中比较外部产业项目、人才资源与本区域产业资源、土地资源承载能力</w:t>
      </w:r>
    </w:p>
    <w:p w14:paraId="3805C761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制定土地政策、公共事业规划、企业服务、人才服务、民生服务目标</w:t>
      </w:r>
    </w:p>
    <w:p w14:paraId="0CDB048F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针对每个岗位设定目标，制定政策措施</w:t>
      </w:r>
    </w:p>
    <w:p w14:paraId="0C6A62C1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总结不同区域环境中影响公共政策执行的因素</w:t>
      </w:r>
    </w:p>
    <w:p w14:paraId="053843C6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对比政策目标，评估公共政策执行效果</w:t>
      </w:r>
    </w:p>
    <w:p w14:paraId="4B93080C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）实验成果：</w:t>
      </w:r>
    </w:p>
    <w:p w14:paraId="320A17A8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通过学习使学生基本掌握公共政策性质及公共政策类型</w:t>
      </w:r>
    </w:p>
    <w:p w14:paraId="04C23F9C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具备执行和设计公共政策的一般能力</w:t>
      </w:r>
    </w:p>
    <w:p w14:paraId="1EEB3CC1">
      <w:pPr>
        <w:pStyle w:val="5"/>
      </w:pPr>
      <w:bookmarkStart w:id="27" w:name="_Toc361848656"/>
      <w:bookmarkEnd w:id="27"/>
      <w:bookmarkStart w:id="28" w:name="_Toc111197181"/>
      <w:bookmarkStart w:id="29" w:name="_Toc451504707"/>
      <w:r>
        <w:t>3</w:t>
      </w:r>
      <w:r>
        <w:rPr>
          <w:rFonts w:hint="eastAsia"/>
        </w:rPr>
        <w:t>、公共财政管理实验</w:t>
      </w:r>
      <w:bookmarkEnd w:id="28"/>
      <w:bookmarkEnd w:id="29"/>
    </w:p>
    <w:p w14:paraId="33FBCA1D">
      <w:pPr>
        <w:ind w:firstLine="360" w:firstLineChars="200"/>
        <w:jc w:val="center"/>
        <w:rPr>
          <w:rFonts w:ascii="宋体" w:cs="Courier New"/>
          <w:sz w:val="18"/>
          <w:szCs w:val="18"/>
        </w:rPr>
      </w:pPr>
      <w:r>
        <w:rPr>
          <w:rFonts w:hint="eastAsia" w:ascii="宋体" w:hAnsi="宋体" w:cs="Courier New"/>
          <w:sz w:val="18"/>
          <w:szCs w:val="18"/>
        </w:rPr>
        <w:t>表</w:t>
      </w:r>
      <w:r>
        <w:rPr>
          <w:rFonts w:ascii="宋体" w:hAnsi="Courier New" w:cs="Courier New"/>
          <w:sz w:val="18"/>
          <w:szCs w:val="18"/>
        </w:rPr>
        <w:t>3</w:t>
      </w:r>
      <w:r>
        <w:rPr>
          <w:rFonts w:hint="eastAsia" w:ascii="宋体" w:hAnsi="Courier New" w:cs="Courier New"/>
          <w:sz w:val="18"/>
          <w:szCs w:val="18"/>
        </w:rPr>
        <w:t>公共财政管理实验项目</w:t>
      </w:r>
    </w:p>
    <w:tbl>
      <w:tblPr>
        <w:tblStyle w:val="22"/>
        <w:tblW w:w="83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1082"/>
        <w:gridCol w:w="4337"/>
        <w:gridCol w:w="1484"/>
      </w:tblGrid>
      <w:tr w14:paraId="169A95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59CB35C8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一级模块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4A74CFD9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二级模块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43F826DB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实验项目名称</w:t>
            </w:r>
          </w:p>
        </w:tc>
        <w:tc>
          <w:tcPr>
            <w:tcW w:w="14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2E8051A4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涉及知识点</w:t>
            </w:r>
          </w:p>
        </w:tc>
      </w:tr>
      <w:tr w14:paraId="6F3D67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14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73BD0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公共财政管理实验</w:t>
            </w:r>
          </w:p>
          <w:p w14:paraId="07ED22A5">
            <w:pPr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7152C0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导入培训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41077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公共财政管理的概念及其特征</w:t>
            </w:r>
          </w:p>
        </w:tc>
        <w:tc>
          <w:tcPr>
            <w:tcW w:w="14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7E3153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公共财政管理</w:t>
            </w:r>
          </w:p>
        </w:tc>
      </w:tr>
      <w:tr w14:paraId="498870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7740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559BD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实验准备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BFEF9E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理解公共财政管理包含的内容</w:t>
            </w:r>
          </w:p>
        </w:tc>
        <w:tc>
          <w:tcPr>
            <w:tcW w:w="1484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74F3D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公共预算与收入管理</w:t>
            </w:r>
          </w:p>
          <w:p w14:paraId="6D856454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公共支出管理</w:t>
            </w:r>
          </w:p>
          <w:p w14:paraId="3735848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75B07B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D02C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671E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5E0DBA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掌握公共预算管理的基本模式</w:t>
            </w:r>
          </w:p>
        </w:tc>
        <w:tc>
          <w:tcPr>
            <w:tcW w:w="148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E9BF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512F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8227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711D7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16430C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理解公共预算管理的过程</w:t>
            </w:r>
          </w:p>
        </w:tc>
        <w:tc>
          <w:tcPr>
            <w:tcW w:w="148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5AF4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7D1F11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E25E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CE5CDE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69280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熟悉政府融资的基本模式</w:t>
            </w:r>
          </w:p>
        </w:tc>
        <w:tc>
          <w:tcPr>
            <w:tcW w:w="148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17CD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067D50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8F9E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0ED59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实验实施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F4826E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设立本仿真实验中公共财政管理的总体目标</w:t>
            </w:r>
          </w:p>
        </w:tc>
        <w:tc>
          <w:tcPr>
            <w:tcW w:w="148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CB47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13AB05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4ACDB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1BB1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079B83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计算本实仿真实验中的预算收入项目，每年确定土地、税收金额</w:t>
            </w:r>
          </w:p>
        </w:tc>
        <w:tc>
          <w:tcPr>
            <w:tcW w:w="148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8A22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651369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0E52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720EE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E83F3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根据公共投资计划确定公共事业投资金额、运营费用，各项转移性支出、购买支出情况</w:t>
            </w:r>
          </w:p>
        </w:tc>
        <w:tc>
          <w:tcPr>
            <w:tcW w:w="148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C31B5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1CDFB7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A26D0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C6C1E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DC0B1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根据预算收入与预算支出差额，选择不同融资方式</w:t>
            </w:r>
          </w:p>
        </w:tc>
        <w:tc>
          <w:tcPr>
            <w:tcW w:w="148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2A3E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75A05D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ABEC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E8EE7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实验总结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D1A1A8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每年总结公共预算执行情况，提出改进措施</w:t>
            </w:r>
          </w:p>
        </w:tc>
        <w:tc>
          <w:tcPr>
            <w:tcW w:w="148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EBDCE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</w:tbl>
    <w:p w14:paraId="080D695C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 xml:space="preserve"> </w:t>
      </w:r>
    </w:p>
    <w:p w14:paraId="4A405684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）实验流程（工作程序）：</w:t>
      </w:r>
    </w:p>
    <w:p w14:paraId="1C0C922B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各区域政府收入来源于土地财政、制造业和服务业税收、上级转移支付，各职能部门编制预算。</w:t>
      </w:r>
    </w:p>
    <w:p w14:paraId="16ED4FA5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确定每年公共财政开支，包括公共事业投资、购买支出、转移性支出等</w:t>
      </w:r>
    </w:p>
    <w:p w14:paraId="5A741514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对比现实中政府融资方式，确定本实验中政府融资方式</w:t>
      </w:r>
    </w:p>
    <w:p w14:paraId="5256055D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总结公共财政预算执行情况，分析原因并提出改进措施</w:t>
      </w:r>
    </w:p>
    <w:p w14:paraId="12CD2963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）实验成果：</w:t>
      </w:r>
    </w:p>
    <w:p w14:paraId="1BFDCB96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公共预算收入与支出结构分析</w:t>
      </w:r>
    </w:p>
    <w:p w14:paraId="05862B66">
      <w:pPr>
        <w:pStyle w:val="5"/>
      </w:pPr>
      <w:bookmarkStart w:id="30" w:name="_Toc361848657"/>
      <w:bookmarkEnd w:id="30"/>
      <w:bookmarkStart w:id="31" w:name="_Toc111197182"/>
      <w:bookmarkStart w:id="32" w:name="_Toc451504708"/>
      <w:r>
        <w:t>4</w:t>
      </w:r>
      <w:r>
        <w:rPr>
          <w:rFonts w:hint="eastAsia"/>
        </w:rPr>
        <w:t>、政府绩效管理实验</w:t>
      </w:r>
      <w:bookmarkEnd w:id="31"/>
      <w:bookmarkEnd w:id="32"/>
    </w:p>
    <w:p w14:paraId="4B0A8C90">
      <w:pPr>
        <w:ind w:firstLine="360" w:firstLineChars="200"/>
        <w:jc w:val="center"/>
        <w:rPr>
          <w:rFonts w:ascii="宋体" w:hAnsi="Courier New" w:cs="Courier New"/>
          <w:sz w:val="18"/>
          <w:szCs w:val="18"/>
        </w:rPr>
      </w:pPr>
      <w:r>
        <w:rPr>
          <w:rFonts w:hint="eastAsia" w:ascii="宋体" w:hAnsi="宋体" w:cs="Courier New"/>
          <w:sz w:val="18"/>
          <w:szCs w:val="18"/>
        </w:rPr>
        <w:t>表</w:t>
      </w:r>
      <w:r>
        <w:rPr>
          <w:rFonts w:ascii="宋体" w:hAnsi="Courier New" w:cs="Courier New"/>
          <w:sz w:val="18"/>
          <w:szCs w:val="18"/>
        </w:rPr>
        <w:t xml:space="preserve">4  </w:t>
      </w:r>
      <w:r>
        <w:rPr>
          <w:rFonts w:hint="eastAsia" w:ascii="宋体" w:hAnsi="Courier New" w:cs="Courier New"/>
          <w:sz w:val="18"/>
          <w:szCs w:val="18"/>
        </w:rPr>
        <w:t>政府绩效管理实验项目</w:t>
      </w:r>
    </w:p>
    <w:tbl>
      <w:tblPr>
        <w:tblStyle w:val="22"/>
        <w:tblW w:w="87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  <w:gridCol w:w="1082"/>
        <w:gridCol w:w="4337"/>
        <w:gridCol w:w="1980"/>
      </w:tblGrid>
      <w:tr w14:paraId="3F1CD1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7266DB91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一级模块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57F3FC57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二级模块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6465E092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实验项目名称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7880C5F0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涉及知识点</w:t>
            </w:r>
          </w:p>
        </w:tc>
      </w:tr>
      <w:tr w14:paraId="411C4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3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40CD8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政府绩效</w:t>
            </w:r>
          </w:p>
          <w:p w14:paraId="378574FB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管理实验</w:t>
            </w: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50E7C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导入培训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BCA6C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政府绩效与公共管理目标</w:t>
            </w:r>
            <w:r>
              <w:rPr>
                <w:rFonts w:hint="eastAsia" w:ascii="宋体" w:hAnsi="宋体" w:cs="Courier New"/>
                <w:sz w:val="18"/>
                <w:szCs w:val="18"/>
                <w:lang w:eastAsia="zh-CN"/>
              </w:rPr>
              <w:t>之间</w:t>
            </w:r>
            <w:r>
              <w:rPr>
                <w:rFonts w:hint="eastAsia" w:ascii="宋体" w:hAnsi="宋体" w:cs="Courier New"/>
                <w:sz w:val="18"/>
                <w:szCs w:val="18"/>
              </w:rPr>
              <w:t>的关系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F83FB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公共部门绩效目标</w:t>
            </w:r>
          </w:p>
          <w:p w14:paraId="4802E477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评估方法与途径</w:t>
            </w:r>
          </w:p>
          <w:p w14:paraId="77850FDD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科学绩效观核心内容</w:t>
            </w:r>
          </w:p>
          <w:p w14:paraId="35A210F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88C1A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55BB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D9C4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34D5D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树立科学的公共管理与公共服务绩效观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821E9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5F2D7A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3805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34106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实验准备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9B6EC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搜集现实中各地政府绩效指标，和上一届政府相比发生了哪些变化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B52CB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22BC9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3367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4E87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E2E9EB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理解本实验中政府绩效指标的意义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9E460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539F9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5F647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4AFD8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5C5BD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掌握本实验中各绩效指标计算方法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CA0E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5FDA62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9A44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6AD0A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CE060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科学绩效观对本区域长远发展影响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8A65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048FD1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D36B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AB90D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实验实施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F07E3C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分析各绩效指标，找出提升政府绩效的途径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FA0FB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5C78CD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F5847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285B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C80D3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理解各指标之间的关联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DFED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19968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C1A4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C6F0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88965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说明土地政策、人才政策、产业政策、环保政策、公共事业投资政策等与政府绩效的关系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0419B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57DC2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0F85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3C41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D0AE6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计算各期绩效指标并分区域对比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D331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553386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7565A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5A9E11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实验总结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F88ED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对比各区域绩效，总结绩效差异的影响因素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84D0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3D8ED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E440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2FF91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9CDDD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反思现实中绩效指标对当地政府行为的引导作用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C597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</w:tbl>
    <w:p w14:paraId="7A9B37DE">
      <w:pPr>
        <w:widowControl/>
        <w:ind w:firstLine="420" w:firstLineChars="200"/>
        <w:jc w:val="left"/>
        <w:rPr>
          <w:rFonts w:ascii="Wingdings" w:hAnsi="宋体" w:cs="宋体"/>
          <w:szCs w:val="21"/>
        </w:rPr>
      </w:pPr>
      <w:r>
        <w:rPr>
          <w:rFonts w:hint="eastAsia" w:ascii="宋体" w:hAnsi="宋体" w:cs="宋体"/>
          <w:szCs w:val="21"/>
        </w:rPr>
        <w:t></w:t>
      </w:r>
    </w:p>
    <w:p w14:paraId="5492459D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）实验流程（工作程序）：</w:t>
      </w:r>
    </w:p>
    <w:p w14:paraId="031A68CE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分析哪些政策可能影响政府长期绩效和短期绩效</w:t>
      </w:r>
    </w:p>
    <w:p w14:paraId="3EAB2DEC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理解科学绩效观的指标体系与核心内容</w:t>
      </w:r>
    </w:p>
    <w:p w14:paraId="075D6D64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分析这些指标之间的关系</w:t>
      </w:r>
    </w:p>
    <w:p w14:paraId="51183CFC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分析这些指标的影响因素</w:t>
      </w:r>
    </w:p>
    <w:p w14:paraId="06E1B734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对比现实中政府评价指标与实验指标的区别，反思绩效指标对政府行为的引导作用</w:t>
      </w:r>
    </w:p>
    <w:p w14:paraId="62EA9E8C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）实验成果：</w:t>
      </w:r>
    </w:p>
    <w:p w14:paraId="4CF41390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科学绩效观的内容与指标</w:t>
      </w:r>
    </w:p>
    <w:p w14:paraId="15BBC90A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实现绩效指标的政策与方法</w:t>
      </w:r>
    </w:p>
    <w:p w14:paraId="68DAA9E1">
      <w:pPr>
        <w:pStyle w:val="5"/>
      </w:pPr>
      <w:bookmarkStart w:id="33" w:name="_Toc361848658"/>
      <w:bookmarkEnd w:id="33"/>
      <w:bookmarkStart w:id="34" w:name="_Toc451504709"/>
      <w:bookmarkStart w:id="35" w:name="_Toc111197183"/>
      <w:r>
        <w:t>5</w:t>
      </w:r>
      <w:r>
        <w:rPr>
          <w:rFonts w:hint="eastAsia"/>
        </w:rPr>
        <w:t>、企业型政府与公共管理变革创新实验</w:t>
      </w:r>
      <w:bookmarkEnd w:id="34"/>
      <w:bookmarkEnd w:id="35"/>
    </w:p>
    <w:p w14:paraId="6D1EC18D">
      <w:pPr>
        <w:spacing w:line="360" w:lineRule="auto"/>
        <w:ind w:left="420" w:firstLine="360" w:firstLineChars="200"/>
        <w:jc w:val="center"/>
        <w:rPr>
          <w:rFonts w:asci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表</w:t>
      </w:r>
      <w:r>
        <w:rPr>
          <w:rFonts w:ascii="宋体" w:hAnsi="宋体" w:cs="宋体"/>
          <w:sz w:val="18"/>
          <w:szCs w:val="18"/>
        </w:rPr>
        <w:t xml:space="preserve">5  </w:t>
      </w:r>
      <w:r>
        <w:rPr>
          <w:rFonts w:hint="eastAsia" w:ascii="宋体" w:hAnsi="宋体" w:cs="宋体"/>
          <w:sz w:val="18"/>
          <w:szCs w:val="18"/>
        </w:rPr>
        <w:t>企业型政府与公共管理变革创新实验项目</w:t>
      </w:r>
    </w:p>
    <w:tbl>
      <w:tblPr>
        <w:tblStyle w:val="22"/>
        <w:tblW w:w="83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1082"/>
        <w:gridCol w:w="4337"/>
        <w:gridCol w:w="1519"/>
      </w:tblGrid>
      <w:tr w14:paraId="2B860C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63E5D5E9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一级模块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1A3FEFEF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二级模块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5D4A0799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实验项目名称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395E28CC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涉及知识点</w:t>
            </w:r>
          </w:p>
        </w:tc>
      </w:tr>
      <w:tr w14:paraId="6BA3D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BCD6E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企业型政府与公共管理变革创新实验</w:t>
            </w: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6650CD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导入培训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44DEB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控制导向管理与服务导向管理的区别</w:t>
            </w:r>
          </w:p>
        </w:tc>
        <w:tc>
          <w:tcPr>
            <w:tcW w:w="151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DD714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公共服务民营化</w:t>
            </w:r>
          </w:p>
          <w:p w14:paraId="362484B8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政府职能再造</w:t>
            </w:r>
          </w:p>
          <w:p w14:paraId="751937A5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企业型政府</w:t>
            </w:r>
          </w:p>
        </w:tc>
      </w:tr>
      <w:tr w14:paraId="49E4C9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E7A9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1C54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4AA41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以政府为本位与亲市场政府的区别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0F093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6188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67F6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41B58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实验准备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07C0A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思考权力角色向服务角色如何转型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1032A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40FB7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3F64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0C176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C9A2B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确定企业型政府的基本理念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482B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1300D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D05C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D358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9F5A9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明确企业型政府的目标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795D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14B783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FACEE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42EFD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4F3DC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站在公众与社会需要的角度，重新思考政府为谁创造价值，创造了哪些价值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3C58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092C4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516E7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60F11D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实验实施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65F63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确定企业对公共产品与服务的需求，创造良好企业发展环境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7532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6500B5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0C9C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BC5C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8F772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计算公共投资的产出与效率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F4C20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42F63D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B9DF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1E57A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E18C0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确定公众对公共产品与服务的需求，提升居民满意指数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F9564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772F4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EF63B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705C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718FE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明确公共服务范围与政府效能指标的关联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3F4B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1D352D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FE47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1272B0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实验总结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5FF0C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本实验中企业型政府的职责范围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93F6A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0DE498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6F4D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1EF4A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565CF7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政府公共管理变革创新的内容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A7CC2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</w:tbl>
    <w:p w14:paraId="1D6DD8FA">
      <w:pPr>
        <w:jc w:val="center"/>
        <w:rPr>
          <w:rFonts w:ascii="宋体" w:cs="Courier New"/>
          <w:szCs w:val="21"/>
        </w:rPr>
      </w:pPr>
      <w:r>
        <w:rPr>
          <w:rFonts w:ascii="宋体" w:hAnsi="宋体" w:cs="Courier New"/>
          <w:szCs w:val="21"/>
        </w:rPr>
        <w:t xml:space="preserve"> </w:t>
      </w:r>
    </w:p>
    <w:p w14:paraId="3B28509E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）实验流程（工作程序）：</w:t>
      </w:r>
    </w:p>
    <w:p w14:paraId="34E1B769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区分企业与公众对公共产品与服务的需求</w:t>
      </w:r>
    </w:p>
    <w:p w14:paraId="0E01729A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理清企业型政府职责范围，及在本实验中政府工作内容与流程</w:t>
      </w:r>
    </w:p>
    <w:p w14:paraId="65B2A0EE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思考本实验中公共服务范围与政府效能指标是否匹配</w:t>
      </w:r>
    </w:p>
    <w:p w14:paraId="5D081AB7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调查现实中该组所代表区域的政府公共服务情况，分析是否符合企业型政府特征</w:t>
      </w:r>
    </w:p>
    <w:p w14:paraId="5D4F60EA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）实验成果：</w:t>
      </w:r>
    </w:p>
    <w:p w14:paraId="7D67E37E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企业型政府在本实验中所体现的职能</w:t>
      </w:r>
    </w:p>
    <w:p w14:paraId="3C6F6891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评价本组所代表区域的政府效能转变情况</w:t>
      </w:r>
    </w:p>
    <w:p w14:paraId="55E2D69E">
      <w:pPr>
        <w:pStyle w:val="5"/>
      </w:pPr>
      <w:bookmarkStart w:id="36" w:name="_Toc361848659"/>
      <w:bookmarkEnd w:id="36"/>
      <w:bookmarkStart w:id="37" w:name="_Toc451504710"/>
      <w:bookmarkStart w:id="38" w:name="_Toc111197184"/>
      <w:r>
        <w:t>6</w:t>
      </w:r>
      <w:r>
        <w:rPr>
          <w:rFonts w:hint="eastAsia"/>
        </w:rPr>
        <w:t>、危机管理与政府决策实验</w:t>
      </w:r>
      <w:bookmarkEnd w:id="37"/>
      <w:bookmarkEnd w:id="38"/>
    </w:p>
    <w:p w14:paraId="12660787">
      <w:pPr>
        <w:spacing w:line="360" w:lineRule="auto"/>
        <w:ind w:left="420" w:firstLine="360" w:firstLineChars="200"/>
        <w:jc w:val="center"/>
        <w:rPr>
          <w:rFonts w:asci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表</w:t>
      </w:r>
      <w:r>
        <w:rPr>
          <w:rFonts w:ascii="宋体" w:hAnsi="宋体" w:cs="宋体"/>
          <w:sz w:val="18"/>
          <w:szCs w:val="18"/>
        </w:rPr>
        <w:t xml:space="preserve">6  </w:t>
      </w:r>
      <w:r>
        <w:rPr>
          <w:rFonts w:hint="eastAsia" w:ascii="宋体" w:hAnsi="宋体" w:cs="宋体"/>
          <w:sz w:val="18"/>
          <w:szCs w:val="18"/>
        </w:rPr>
        <w:t>危机管理与政府决策实验项目</w:t>
      </w:r>
    </w:p>
    <w:tbl>
      <w:tblPr>
        <w:tblStyle w:val="22"/>
        <w:tblW w:w="849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1082"/>
        <w:gridCol w:w="4337"/>
        <w:gridCol w:w="1661"/>
      </w:tblGrid>
      <w:tr w14:paraId="4B95F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664376C9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一级模块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67F20E07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二级模块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27FE695D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实验项目名称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3D98A3EF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涉及知识点</w:t>
            </w:r>
          </w:p>
        </w:tc>
      </w:tr>
      <w:tr w14:paraId="3DA4C3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E1BEB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危机管理与政府决策实验</w:t>
            </w: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F912F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导入培训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0D72F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公共危机特点</w:t>
            </w:r>
          </w:p>
        </w:tc>
        <w:tc>
          <w:tcPr>
            <w:tcW w:w="1661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56C48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公共危机</w:t>
            </w:r>
          </w:p>
          <w:p w14:paraId="33476EC5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应急管理</w:t>
            </w:r>
          </w:p>
        </w:tc>
      </w:tr>
      <w:tr w14:paraId="65421E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4F72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330060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29A70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公共危机处理原则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88C0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16C7DE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DACD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988AD4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实验准备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9A452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实验中公共危机的类型与表现形式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088B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29589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693CE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7258A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DD97B1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公共危机的常见处理模式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27065B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78F99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AB4A0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9668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13FA2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公共危机的决策流程与配套措施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4C8B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4C13F9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6B1A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BDA9A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92405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应急管理的保障体系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9DC7B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25F820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B60AE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B65B4E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实验实施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28AD0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了解危机真实状态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5B35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10A887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3A8B7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2E60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8188F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了解媒体报道语态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9BDF67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2D4C20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36A5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C30E6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B2E68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了解公众面对危机的心态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59E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5F2798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649EA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8C06F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CE3A3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制定公共危机对策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62EEA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2C0E80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1A51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AE0C1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实验总结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ACB02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公共危机决策的预防与改进措施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B409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45F0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9112A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74AE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3164D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公共危机政府决策程序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C998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</w:tbl>
    <w:p w14:paraId="5A637C7E">
      <w:pPr>
        <w:jc w:val="center"/>
        <w:rPr>
          <w:rFonts w:ascii="宋体" w:cs="Courier New"/>
          <w:szCs w:val="21"/>
        </w:rPr>
      </w:pPr>
      <w:r>
        <w:rPr>
          <w:rFonts w:hint="eastAsia" w:ascii="宋体" w:hAnsi="宋体" w:cs="宋体"/>
          <w:szCs w:val="21"/>
        </w:rPr>
        <w:t></w:t>
      </w:r>
    </w:p>
    <w:p w14:paraId="40F8797F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）实验流程（工作程序）：</w:t>
      </w:r>
    </w:p>
    <w:p w14:paraId="62204BD6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识别实验中公共危机的祸因</w:t>
      </w:r>
    </w:p>
    <w:p w14:paraId="6F6C2B8F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制定危机管理预案与政府决策程序</w:t>
      </w:r>
    </w:p>
    <w:p w14:paraId="42A372A6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针对实验中具体危机事件，分析事件真实状态，执行预案</w:t>
      </w:r>
    </w:p>
    <w:p w14:paraId="4A1BB963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总结在处理公共危机中，</w:t>
      </w:r>
      <w:r>
        <w:rPr>
          <w:rFonts w:hint="eastAsia" w:ascii="宋体" w:hAnsi="宋体" w:cs="Arial"/>
          <w:szCs w:val="21"/>
          <w:shd w:val="clear" w:color="auto" w:fill="FFFFFF"/>
        </w:rPr>
        <w:t>缩减（</w:t>
      </w:r>
      <w:r>
        <w:rPr>
          <w:rFonts w:ascii="Arial" w:hAnsi="Arial" w:cs="Arial"/>
          <w:szCs w:val="21"/>
          <w:shd w:val="clear" w:color="auto" w:fill="FFFFFF"/>
        </w:rPr>
        <w:t>Reduction</w:t>
      </w:r>
      <w:r>
        <w:rPr>
          <w:rFonts w:hint="eastAsia" w:ascii="宋体" w:hAnsi="宋体" w:cs="Arial"/>
          <w:szCs w:val="21"/>
          <w:shd w:val="clear" w:color="auto" w:fill="FFFFFF"/>
        </w:rPr>
        <w:t>）、预备（</w:t>
      </w:r>
      <w:r>
        <w:rPr>
          <w:rFonts w:ascii="Arial" w:hAnsi="Arial" w:cs="Arial"/>
          <w:szCs w:val="21"/>
          <w:shd w:val="clear" w:color="auto" w:fill="FFFFFF"/>
        </w:rPr>
        <w:t>Readiness</w:t>
      </w:r>
      <w:r>
        <w:rPr>
          <w:rFonts w:hint="eastAsia" w:ascii="宋体" w:hAnsi="宋体" w:cs="Arial"/>
          <w:szCs w:val="21"/>
          <w:shd w:val="clear" w:color="auto" w:fill="FFFFFF"/>
        </w:rPr>
        <w:t>）、反应（</w:t>
      </w:r>
      <w:r>
        <w:rPr>
          <w:rFonts w:ascii="Arial" w:hAnsi="Arial" w:cs="Arial"/>
          <w:szCs w:val="21"/>
          <w:shd w:val="clear" w:color="auto" w:fill="FFFFFF"/>
        </w:rPr>
        <w:t>Response</w:t>
      </w:r>
      <w:r>
        <w:rPr>
          <w:rFonts w:hint="eastAsia" w:ascii="宋体" w:hAnsi="宋体" w:cs="Arial"/>
          <w:szCs w:val="21"/>
          <w:shd w:val="clear" w:color="auto" w:fill="FFFFFF"/>
        </w:rPr>
        <w:t>）、恢复（</w:t>
      </w:r>
      <w:r>
        <w:rPr>
          <w:rFonts w:ascii="Arial" w:hAnsi="Arial" w:cs="Arial"/>
          <w:szCs w:val="21"/>
          <w:shd w:val="clear" w:color="auto" w:fill="FFFFFF"/>
        </w:rPr>
        <w:t>Recovery</w:t>
      </w:r>
      <w:r>
        <w:rPr>
          <w:rFonts w:hint="eastAsia" w:ascii="宋体" w:hAnsi="宋体" w:cs="Arial"/>
          <w:szCs w:val="21"/>
          <w:shd w:val="clear" w:color="auto" w:fill="FFFFFF"/>
        </w:rPr>
        <w:t>）四个环节如何体现</w:t>
      </w:r>
    </w:p>
    <w:p w14:paraId="1FF503CD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）实训成果</w:t>
      </w:r>
    </w:p>
    <w:p w14:paraId="7D2609EC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危机管理案例分析与对策</w:t>
      </w:r>
    </w:p>
    <w:p w14:paraId="5FFA5F00">
      <w:pPr>
        <w:widowControl/>
        <w:jc w:val="left"/>
        <w:rPr>
          <w:rFonts w:eastAsia="黑体"/>
          <w:b/>
          <w:bCs/>
          <w:kern w:val="44"/>
          <w:sz w:val="28"/>
          <w:szCs w:val="44"/>
        </w:rPr>
      </w:pPr>
      <w:bookmarkStart w:id="39" w:name="_Toc306529605"/>
      <w:bookmarkEnd w:id="39"/>
      <w:bookmarkStart w:id="40" w:name="_Toc361849271"/>
    </w:p>
    <w:bookmarkEnd w:id="40"/>
    <w:p w14:paraId="6BCB1D2E">
      <w:pPr>
        <w:pStyle w:val="4"/>
        <w:rPr>
          <w:rFonts w:ascii="Arial" w:hAnsi="Arial"/>
        </w:rPr>
      </w:pPr>
      <w:bookmarkStart w:id="41" w:name="_Toc510809117"/>
      <w:bookmarkStart w:id="42" w:name="_Toc111197185"/>
      <w:bookmarkStart w:id="43" w:name="_Toc361849276"/>
      <w:r>
        <w:rPr>
          <w:rFonts w:hint="eastAsia"/>
        </w:rPr>
        <w:t>四、实训中心硬件配置</w:t>
      </w:r>
      <w:bookmarkEnd w:id="41"/>
      <w:bookmarkEnd w:id="42"/>
    </w:p>
    <w:p w14:paraId="2AB4630C"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1、严禁安装在个人</w:t>
      </w:r>
      <w:r>
        <w:rPr>
          <w:rFonts w:asciiTheme="minorEastAsia" w:hAnsiTheme="minorEastAsia" w:eastAsiaTheme="minorEastAsia"/>
          <w:szCs w:val="21"/>
        </w:rPr>
        <w:t>电脑或主机上，否则无法进行；</w:t>
      </w:r>
    </w:p>
    <w:p w14:paraId="17447899"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hint="eastAsia" w:ascii="宋体" w:hAnsi="宋体" w:cs="Calibri"/>
          <w:bCs/>
          <w:szCs w:val="21"/>
        </w:rPr>
        <w:t>操作系统Windows Server 2012 及以上，运行环境Framework4.6及以上</w:t>
      </w:r>
    </w:p>
    <w:p w14:paraId="43D8F67B"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3、外型</w:t>
      </w:r>
      <w:r>
        <w:rPr>
          <w:rFonts w:asciiTheme="minorEastAsia" w:hAnsiTheme="minorEastAsia" w:eastAsiaTheme="minorEastAsia"/>
          <w:szCs w:val="21"/>
        </w:rPr>
        <w:t>：机架式</w:t>
      </w:r>
      <w:r>
        <w:rPr>
          <w:rFonts w:hint="eastAsia" w:asciiTheme="minorEastAsia" w:hAnsiTheme="minorEastAsia" w:eastAsiaTheme="minorEastAsia"/>
          <w:szCs w:val="21"/>
        </w:rPr>
        <w:t>/塔式；</w:t>
      </w:r>
    </w:p>
    <w:p w14:paraId="3D682B9B"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4、处理器</w:t>
      </w:r>
      <w:r>
        <w:rPr>
          <w:rFonts w:asciiTheme="minorEastAsia" w:hAnsiTheme="minorEastAsia" w:eastAsiaTheme="minorEastAsia"/>
          <w:szCs w:val="21"/>
        </w:rPr>
        <w:t>：</w:t>
      </w:r>
      <w:r>
        <w:rPr>
          <w:rFonts w:hint="eastAsia" w:asciiTheme="minorEastAsia" w:hAnsiTheme="minorEastAsia" w:eastAsiaTheme="minorEastAsia"/>
          <w:szCs w:val="21"/>
        </w:rPr>
        <w:t>I</w:t>
      </w:r>
      <w:r>
        <w:rPr>
          <w:rFonts w:asciiTheme="minorEastAsia" w:hAnsiTheme="minorEastAsia" w:eastAsiaTheme="minorEastAsia"/>
          <w:szCs w:val="21"/>
        </w:rPr>
        <w:t>nte</w:t>
      </w:r>
      <w:r>
        <w:rPr>
          <w:rFonts w:hint="eastAsia" w:asciiTheme="minorEastAsia" w:hAnsiTheme="minorEastAsia" w:eastAsiaTheme="minorEastAsia"/>
          <w:szCs w:val="21"/>
        </w:rPr>
        <w:t>l</w:t>
      </w:r>
      <w:r>
        <w:rPr>
          <w:rFonts w:asciiTheme="minorEastAsia" w:hAnsiTheme="minorEastAsia" w:eastAsiaTheme="minorEastAsia"/>
          <w:szCs w:val="21"/>
        </w:rPr>
        <w:t>或</w:t>
      </w:r>
      <w:r>
        <w:rPr>
          <w:rFonts w:hint="eastAsia" w:asciiTheme="minorEastAsia" w:hAnsiTheme="minorEastAsia" w:eastAsiaTheme="minorEastAsia"/>
          <w:szCs w:val="21"/>
        </w:rPr>
        <w:t>至强E5系列</w:t>
      </w:r>
      <w:r>
        <w:rPr>
          <w:rFonts w:asciiTheme="minorEastAsia" w:hAnsiTheme="minorEastAsia" w:eastAsiaTheme="minorEastAsia"/>
          <w:szCs w:val="21"/>
        </w:rPr>
        <w:t>处理器及以上</w:t>
      </w:r>
      <w:r>
        <w:rPr>
          <w:rFonts w:hint="eastAsia" w:asciiTheme="minorEastAsia" w:hAnsiTheme="minorEastAsia" w:eastAsiaTheme="minorEastAsia"/>
          <w:szCs w:val="21"/>
        </w:rPr>
        <w:t>；</w:t>
      </w:r>
    </w:p>
    <w:p w14:paraId="5E6CF458"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5、内存容量</w:t>
      </w:r>
      <w:r>
        <w:rPr>
          <w:rFonts w:asciiTheme="minorEastAsia" w:hAnsiTheme="minorEastAsia" w:eastAsiaTheme="minorEastAsia"/>
          <w:szCs w:val="21"/>
        </w:rPr>
        <w:t>：</w:t>
      </w:r>
      <w:r>
        <w:rPr>
          <w:rFonts w:hint="eastAsia" w:asciiTheme="minorEastAsia" w:hAnsiTheme="minorEastAsia" w:eastAsiaTheme="minorEastAsia"/>
          <w:szCs w:val="21"/>
        </w:rPr>
        <w:t>16G以上；</w:t>
      </w:r>
    </w:p>
    <w:p w14:paraId="6972A3BE"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6、</w:t>
      </w:r>
      <w:r>
        <w:rPr>
          <w:rFonts w:hint="eastAsia" w:ascii="宋体" w:hAnsi="宋体" w:cs="Calibri"/>
          <w:bCs/>
          <w:szCs w:val="21"/>
        </w:rPr>
        <w:t>数据库SQL server 2012及以上</w:t>
      </w:r>
      <w:r>
        <w:rPr>
          <w:rFonts w:asciiTheme="minorEastAsia" w:hAnsiTheme="minorEastAsia" w:eastAsiaTheme="minorEastAsia"/>
          <w:szCs w:val="21"/>
        </w:rPr>
        <w:t>；</w:t>
      </w:r>
    </w:p>
    <w:p w14:paraId="6CD083FD">
      <w:pPr>
        <w:spacing w:line="360" w:lineRule="auto"/>
        <w:rPr>
          <w:rFonts w:cs="Calibri" w:asciiTheme="minorEastAsia" w:hAnsiTheme="minorEastAsia" w:eastAsiaTheme="minorEastAsia"/>
          <w:bCs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7、</w:t>
      </w:r>
      <w:r>
        <w:rPr>
          <w:rFonts w:hint="eastAsia" w:cs="Calibri" w:asciiTheme="minorEastAsia" w:hAnsiTheme="minorEastAsia" w:eastAsiaTheme="minorEastAsia"/>
          <w:bCs/>
          <w:szCs w:val="21"/>
        </w:rPr>
        <w:t>运行环境Framework4.6及以上；</w:t>
      </w:r>
    </w:p>
    <w:p w14:paraId="1A4C4AEA">
      <w:pPr>
        <w:spacing w:line="360" w:lineRule="auto"/>
        <w:rPr>
          <w:rFonts w:cs="Calibri" w:asciiTheme="minorEastAsia" w:hAnsiTheme="minorEastAsia" w:eastAsiaTheme="minorEastAsia"/>
          <w:bCs/>
          <w:szCs w:val="21"/>
        </w:rPr>
      </w:pPr>
      <w:r>
        <w:rPr>
          <w:rFonts w:hint="eastAsia" w:cs="Calibri" w:asciiTheme="minorEastAsia" w:hAnsiTheme="minorEastAsia" w:eastAsiaTheme="minorEastAsia"/>
          <w:bCs/>
          <w:szCs w:val="21"/>
        </w:rPr>
        <w:t>8、硬盘剩余空间至少100GB；</w:t>
      </w:r>
    </w:p>
    <w:p w14:paraId="3945CCF8"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cs="Calibri" w:asciiTheme="minorEastAsia" w:hAnsiTheme="minorEastAsia" w:eastAsiaTheme="minorEastAsia"/>
          <w:bCs/>
          <w:szCs w:val="21"/>
        </w:rPr>
        <w:t>9、浏览器：chrome或IE10及以上。</w:t>
      </w:r>
    </w:p>
    <w:p w14:paraId="583E53A6">
      <w:pPr>
        <w:pStyle w:val="4"/>
        <w:rPr>
          <w:rFonts w:ascii="Arial" w:hAnsi="Arial"/>
        </w:rPr>
      </w:pPr>
      <w:bookmarkStart w:id="44" w:name="_Toc361849272"/>
      <w:bookmarkEnd w:id="44"/>
      <w:bookmarkStart w:id="45" w:name="_Toc111197186"/>
      <w:bookmarkStart w:id="46" w:name="_Toc510809118"/>
      <w:r>
        <w:rPr>
          <w:rFonts w:hint="eastAsia"/>
        </w:rPr>
        <w:t>五、</w:t>
      </w:r>
      <w:bookmarkStart w:id="47" w:name="_Toc303968147"/>
      <w:r>
        <w:rPr>
          <w:rFonts w:hint="eastAsia"/>
        </w:rPr>
        <w:t>产品</w:t>
      </w:r>
      <w:bookmarkEnd w:id="47"/>
      <w:r>
        <w:rPr>
          <w:rFonts w:hint="eastAsia"/>
        </w:rPr>
        <w:t>内容</w:t>
      </w:r>
      <w:bookmarkEnd w:id="45"/>
      <w:bookmarkEnd w:id="46"/>
      <w:bookmarkStart w:id="48" w:name="_Toc303968148"/>
      <w:bookmarkEnd w:id="48"/>
    </w:p>
    <w:p w14:paraId="36E7D3D1">
      <w:pPr>
        <w:pStyle w:val="5"/>
      </w:pPr>
      <w:bookmarkStart w:id="49" w:name="_Toc303968149"/>
      <w:bookmarkEnd w:id="49"/>
      <w:bookmarkStart w:id="50" w:name="_Toc510809120"/>
      <w:bookmarkStart w:id="51" w:name="_Toc111197187"/>
      <w:r>
        <w:rPr>
          <w:rFonts w:hint="eastAsia" w:ascii="Calibri" w:hAnsi="Calibri"/>
        </w:rPr>
        <w:t>1</w:t>
      </w:r>
      <w:r>
        <w:rPr>
          <w:rFonts w:hint="eastAsia"/>
        </w:rPr>
        <w:t>、电子资料</w:t>
      </w:r>
      <w:bookmarkEnd w:id="50"/>
      <w:bookmarkEnd w:id="51"/>
    </w:p>
    <w:tbl>
      <w:tblPr>
        <w:tblStyle w:val="22"/>
        <w:tblW w:w="78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4"/>
        <w:gridCol w:w="1856"/>
      </w:tblGrid>
      <w:tr w14:paraId="641434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8E2F4">
            <w:pPr>
              <w:ind w:firstLine="562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名称（数量均为</w:t>
            </w:r>
            <w:r>
              <w:rPr>
                <w:rFonts w:ascii="宋体" w:hAnsi="宋体"/>
                <w:b/>
                <w:bCs/>
                <w:szCs w:val="21"/>
              </w:rPr>
              <w:t>1</w:t>
            </w:r>
            <w:r>
              <w:rPr>
                <w:rFonts w:hint="eastAsia" w:ascii="宋体" w:hAnsi="宋体"/>
                <w:b/>
                <w:bCs/>
                <w:szCs w:val="21"/>
              </w:rPr>
              <w:t>件）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EF7D104">
            <w:pPr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格式</w:t>
            </w:r>
          </w:p>
        </w:tc>
      </w:tr>
      <w:tr w14:paraId="64C41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7154C">
            <w:r>
              <w:rPr>
                <w:rFonts w:hint="eastAsia"/>
              </w:rPr>
              <w:t>《数字政务实验室（公共管理决策仿真系统）课程授课讲义》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37F1007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PPT</w:t>
            </w:r>
          </w:p>
        </w:tc>
      </w:tr>
      <w:tr w14:paraId="095D6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F97D8">
            <w:r>
              <w:rPr>
                <w:rFonts w:hint="eastAsia"/>
              </w:rPr>
              <w:t>《数字政务实验室（公共管理决策仿真系统）课程教学指导书》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B1F2CC4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WORD</w:t>
            </w:r>
            <w:r>
              <w:rPr>
                <w:rFonts w:hint="eastAsia" w:ascii="宋体" w:hAnsi="宋体"/>
                <w:szCs w:val="21"/>
              </w:rPr>
              <w:t>电子版</w:t>
            </w:r>
          </w:p>
        </w:tc>
      </w:tr>
      <w:tr w14:paraId="660692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81CEE">
            <w:r>
              <w:rPr>
                <w:rFonts w:hint="eastAsia"/>
              </w:rPr>
              <w:t>《数字政务实验室（公共管理决策仿真系统）学员手册》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6E9CE96"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印刷版</w:t>
            </w: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hint="eastAsia" w:ascii="宋体" w:hAnsi="宋体"/>
                <w:szCs w:val="21"/>
              </w:rPr>
              <w:t>本</w:t>
            </w:r>
          </w:p>
        </w:tc>
      </w:tr>
      <w:tr w14:paraId="720C21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CBF85">
            <w:r>
              <w:rPr>
                <w:rFonts w:hint="eastAsia"/>
              </w:rPr>
              <w:t>《数字政务实验室（公共管理决策仿真系统）教师手册》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372822A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WORD</w:t>
            </w:r>
            <w:r>
              <w:rPr>
                <w:rFonts w:hint="eastAsia" w:ascii="宋体" w:hAnsi="宋体"/>
                <w:szCs w:val="21"/>
              </w:rPr>
              <w:t>电子版和印刷版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本</w:t>
            </w:r>
          </w:p>
        </w:tc>
      </w:tr>
    </w:tbl>
    <w:p w14:paraId="3E2F539F"/>
    <w:p w14:paraId="29563877">
      <w:pPr>
        <w:pStyle w:val="5"/>
        <w:rPr>
          <w:rFonts w:ascii="Calibri" w:hAnsi="Calibri"/>
        </w:rPr>
      </w:pPr>
      <w:bookmarkStart w:id="52" w:name="_Toc361849275"/>
      <w:bookmarkEnd w:id="52"/>
      <w:bookmarkStart w:id="53" w:name="_Toc510809121"/>
      <w:bookmarkStart w:id="54" w:name="_Toc111197188"/>
      <w:r>
        <w:rPr>
          <w:rFonts w:hint="eastAsia" w:ascii="Calibri" w:hAnsi="Calibri"/>
        </w:rPr>
        <w:t>2</w:t>
      </w:r>
      <w:r>
        <w:rPr>
          <w:rFonts w:hint="eastAsia"/>
        </w:rPr>
        <w:t>、</w:t>
      </w:r>
      <w:bookmarkEnd w:id="53"/>
      <w:r>
        <w:rPr>
          <w:rFonts w:hint="eastAsia"/>
        </w:rPr>
        <w:t>软件操作系统</w:t>
      </w:r>
      <w:bookmarkEnd w:id="54"/>
    </w:p>
    <w:p w14:paraId="625DEA1E">
      <w:pPr>
        <w:keepNext/>
        <w:keepLines/>
        <w:spacing w:before="280" w:after="290" w:line="376" w:lineRule="auto"/>
        <w:outlineLvl w:val="3"/>
        <w:rPr>
          <w:rFonts w:ascii="Arial" w:hAnsi="Arial" w:eastAsia="黑体"/>
          <w:b/>
          <w:bCs/>
          <w:szCs w:val="21"/>
        </w:rPr>
      </w:pPr>
      <w:bookmarkStart w:id="55" w:name="_Toc361848001"/>
      <w:bookmarkEnd w:id="55"/>
      <w:bookmarkStart w:id="56" w:name="_Toc279650539"/>
      <w:bookmarkEnd w:id="56"/>
      <w:r>
        <w:rPr>
          <w:rFonts w:hint="eastAsia" w:ascii="Arial" w:hAnsi="Arial" w:eastAsia="黑体"/>
          <w:b/>
          <w:bCs/>
          <w:szCs w:val="21"/>
        </w:rPr>
        <w:t>（一）教师端功能</w:t>
      </w:r>
    </w:p>
    <w:p w14:paraId="40318B81"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小组管理</w:t>
      </w:r>
      <w:r>
        <w:rPr>
          <w:rFonts w:hint="eastAsia"/>
          <w:color w:val="auto"/>
          <w:szCs w:val="21"/>
        </w:rPr>
        <w:t>】小组管理功能</w:t>
      </w:r>
      <w:r>
        <w:rPr>
          <w:color w:val="auto"/>
          <w:szCs w:val="21"/>
        </w:rPr>
        <w:t>可以</w:t>
      </w:r>
      <w:r>
        <w:rPr>
          <w:rFonts w:hint="eastAsia"/>
          <w:color w:val="auto"/>
          <w:szCs w:val="21"/>
        </w:rPr>
        <w:t>在</w:t>
      </w:r>
      <w:r>
        <w:rPr>
          <w:color w:val="auto"/>
          <w:szCs w:val="21"/>
        </w:rPr>
        <w:t>本</w:t>
      </w:r>
      <w:r>
        <w:rPr>
          <w:rFonts w:hint="eastAsia"/>
          <w:color w:val="auto"/>
          <w:szCs w:val="21"/>
        </w:rPr>
        <w:t>班删除某</w:t>
      </w:r>
      <w:r>
        <w:rPr>
          <w:color w:val="auto"/>
          <w:szCs w:val="21"/>
        </w:rPr>
        <w:t>个小</w:t>
      </w:r>
      <w:r>
        <w:rPr>
          <w:rFonts w:hint="eastAsia"/>
          <w:color w:val="auto"/>
          <w:szCs w:val="21"/>
        </w:rPr>
        <w:t>组，查</w:t>
      </w:r>
      <w:r>
        <w:rPr>
          <w:color w:val="auto"/>
          <w:szCs w:val="21"/>
        </w:rPr>
        <w:t>看组长在线状态</w:t>
      </w:r>
      <w:r>
        <w:rPr>
          <w:rFonts w:hint="eastAsia"/>
          <w:color w:val="auto"/>
          <w:szCs w:val="21"/>
        </w:rPr>
        <w:t>；学生管理功能可</w:t>
      </w:r>
      <w:r>
        <w:rPr>
          <w:color w:val="auto"/>
          <w:szCs w:val="21"/>
        </w:rPr>
        <w:t>以</w:t>
      </w:r>
      <w:r>
        <w:rPr>
          <w:rFonts w:hint="eastAsia"/>
          <w:color w:val="auto"/>
          <w:szCs w:val="21"/>
        </w:rPr>
        <w:t>查</w:t>
      </w:r>
      <w:r>
        <w:rPr>
          <w:color w:val="auto"/>
          <w:szCs w:val="21"/>
        </w:rPr>
        <w:t>看</w:t>
      </w:r>
      <w:r>
        <w:rPr>
          <w:rFonts w:hint="eastAsia"/>
          <w:color w:val="auto"/>
          <w:szCs w:val="21"/>
        </w:rPr>
        <w:t>组</w:t>
      </w:r>
      <w:r>
        <w:rPr>
          <w:color w:val="auto"/>
          <w:szCs w:val="21"/>
        </w:rPr>
        <w:t>员在线状态</w:t>
      </w:r>
      <w:r>
        <w:rPr>
          <w:rFonts w:hint="eastAsia"/>
          <w:color w:val="auto"/>
          <w:szCs w:val="21"/>
        </w:rPr>
        <w:t>，修改</w:t>
      </w:r>
      <w:r>
        <w:rPr>
          <w:color w:val="auto"/>
          <w:szCs w:val="21"/>
        </w:rPr>
        <w:t>、增加</w:t>
      </w:r>
      <w:r>
        <w:rPr>
          <w:rFonts w:hint="eastAsia"/>
          <w:color w:val="auto"/>
          <w:szCs w:val="21"/>
        </w:rPr>
        <w:t>小组</w:t>
      </w:r>
      <w:r>
        <w:rPr>
          <w:color w:val="auto"/>
          <w:szCs w:val="21"/>
        </w:rPr>
        <w:t>成员</w:t>
      </w:r>
      <w:r>
        <w:rPr>
          <w:rFonts w:hint="eastAsia"/>
          <w:color w:val="auto"/>
          <w:szCs w:val="21"/>
        </w:rPr>
        <w:t>信息，</w:t>
      </w:r>
      <w:r>
        <w:rPr>
          <w:color w:val="auto"/>
          <w:szCs w:val="21"/>
        </w:rPr>
        <w:t>删除组员，转换组长等操作。</w:t>
      </w:r>
      <w:r>
        <w:rPr>
          <w:rFonts w:hint="eastAsia"/>
          <w:color w:val="auto"/>
          <w:szCs w:val="21"/>
        </w:rPr>
        <w:t>奖励处罚功能</w:t>
      </w:r>
      <w:r>
        <w:rPr>
          <w:color w:val="auto"/>
          <w:szCs w:val="21"/>
        </w:rPr>
        <w:t>是对该组进行</w:t>
      </w:r>
      <w:r>
        <w:rPr>
          <w:rFonts w:hint="eastAsia"/>
          <w:color w:val="auto"/>
          <w:szCs w:val="21"/>
        </w:rPr>
        <w:t>执行</w:t>
      </w:r>
      <w:r>
        <w:rPr>
          <w:color w:val="auto"/>
          <w:szCs w:val="21"/>
        </w:rPr>
        <w:t>现金奖励与处罚操作。</w:t>
      </w:r>
    </w:p>
    <w:p w14:paraId="517AF86F"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教学打分</w:t>
      </w:r>
      <w:r>
        <w:rPr>
          <w:rFonts w:hint="eastAsia"/>
          <w:color w:val="auto"/>
          <w:szCs w:val="21"/>
        </w:rPr>
        <w:t>】可</w:t>
      </w:r>
      <w:r>
        <w:rPr>
          <w:color w:val="auto"/>
          <w:szCs w:val="21"/>
        </w:rPr>
        <w:t>以设置</w:t>
      </w:r>
      <w:r>
        <w:rPr>
          <w:rFonts w:hint="eastAsia" w:ascii="宋体" w:hAnsi="宋体"/>
          <w:color w:val="auto"/>
          <w:szCs w:val="21"/>
        </w:rPr>
        <w:t>竞选与预测</w:t>
      </w:r>
      <w:r>
        <w:rPr>
          <w:color w:val="auto"/>
          <w:szCs w:val="21"/>
        </w:rPr>
        <w:t>、企业</w:t>
      </w:r>
      <w:r>
        <w:rPr>
          <w:rFonts w:hint="eastAsia"/>
          <w:color w:val="auto"/>
          <w:szCs w:val="21"/>
        </w:rPr>
        <w:t>活</w:t>
      </w:r>
      <w:r>
        <w:rPr>
          <w:color w:val="auto"/>
          <w:szCs w:val="21"/>
        </w:rPr>
        <w:t>力指数、</w:t>
      </w:r>
      <w:r>
        <w:rPr>
          <w:rFonts w:hint="eastAsia"/>
          <w:color w:val="auto"/>
          <w:szCs w:val="21"/>
        </w:rPr>
        <w:t>居</w:t>
      </w:r>
      <w:r>
        <w:rPr>
          <w:color w:val="auto"/>
          <w:szCs w:val="21"/>
        </w:rPr>
        <w:t>民幸福指数</w:t>
      </w:r>
      <w:r>
        <w:rPr>
          <w:rFonts w:hint="eastAsia"/>
          <w:color w:val="auto"/>
          <w:szCs w:val="21"/>
        </w:rPr>
        <w:t>、</w:t>
      </w:r>
      <w:r>
        <w:rPr>
          <w:color w:val="auto"/>
          <w:szCs w:val="21"/>
        </w:rPr>
        <w:t>抢答、实验报告、</w:t>
      </w:r>
      <w:r>
        <w:rPr>
          <w:rFonts w:hint="eastAsia"/>
          <w:color w:val="auto"/>
          <w:szCs w:val="21"/>
        </w:rPr>
        <w:t>财政</w:t>
      </w:r>
      <w:r>
        <w:rPr>
          <w:color w:val="auto"/>
          <w:szCs w:val="21"/>
        </w:rPr>
        <w:t>预算等</w:t>
      </w:r>
      <w:r>
        <w:rPr>
          <w:rFonts w:hint="eastAsia"/>
          <w:color w:val="auto"/>
          <w:szCs w:val="21"/>
        </w:rPr>
        <w:t>得</w:t>
      </w:r>
      <w:r>
        <w:rPr>
          <w:color w:val="auto"/>
          <w:szCs w:val="21"/>
        </w:rPr>
        <w:t>分权重；</w:t>
      </w:r>
      <w:r>
        <w:rPr>
          <w:rFonts w:hint="eastAsia"/>
          <w:color w:val="auto"/>
          <w:szCs w:val="21"/>
        </w:rPr>
        <w:t>查</w:t>
      </w:r>
      <w:r>
        <w:rPr>
          <w:color w:val="auto"/>
          <w:szCs w:val="21"/>
        </w:rPr>
        <w:t>看各</w:t>
      </w:r>
      <w:r>
        <w:rPr>
          <w:rFonts w:hint="eastAsia"/>
          <w:color w:val="auto"/>
          <w:szCs w:val="21"/>
        </w:rPr>
        <w:t>小组得</w:t>
      </w:r>
      <w:r>
        <w:rPr>
          <w:color w:val="auto"/>
          <w:szCs w:val="21"/>
        </w:rPr>
        <w:t>分</w:t>
      </w:r>
      <w:r>
        <w:rPr>
          <w:rFonts w:hint="eastAsia"/>
          <w:color w:val="auto"/>
          <w:szCs w:val="21"/>
        </w:rPr>
        <w:t>排名；并可</w:t>
      </w:r>
      <w:r>
        <w:rPr>
          <w:color w:val="auto"/>
          <w:szCs w:val="21"/>
        </w:rPr>
        <w:t>查看各</w:t>
      </w:r>
      <w:r>
        <w:rPr>
          <w:rFonts w:hint="eastAsia"/>
          <w:color w:val="auto"/>
          <w:szCs w:val="21"/>
        </w:rPr>
        <w:t>小组以</w:t>
      </w:r>
      <w:r>
        <w:rPr>
          <w:color w:val="auto"/>
          <w:szCs w:val="21"/>
        </w:rPr>
        <w:t>上各指标的</w:t>
      </w:r>
      <w:r>
        <w:rPr>
          <w:rFonts w:hint="eastAsia"/>
          <w:color w:val="auto"/>
          <w:szCs w:val="21"/>
        </w:rPr>
        <w:t>得分详情；查</w:t>
      </w:r>
      <w:r>
        <w:rPr>
          <w:color w:val="auto"/>
          <w:szCs w:val="21"/>
        </w:rPr>
        <w:t>看各</w:t>
      </w:r>
      <w:r>
        <w:rPr>
          <w:rFonts w:hint="eastAsia"/>
          <w:color w:val="auto"/>
          <w:szCs w:val="21"/>
        </w:rPr>
        <w:t>学生排名，</w:t>
      </w:r>
      <w:r>
        <w:rPr>
          <w:color w:val="auto"/>
          <w:szCs w:val="21"/>
        </w:rPr>
        <w:t>以及</w:t>
      </w:r>
      <w:r>
        <w:rPr>
          <w:rFonts w:hint="eastAsia"/>
          <w:color w:val="auto"/>
          <w:szCs w:val="21"/>
        </w:rPr>
        <w:t>学生</w:t>
      </w:r>
      <w:r>
        <w:rPr>
          <w:color w:val="auto"/>
          <w:szCs w:val="21"/>
        </w:rPr>
        <w:t>排</w:t>
      </w:r>
      <w:r>
        <w:rPr>
          <w:rFonts w:hint="eastAsia"/>
          <w:color w:val="auto"/>
          <w:szCs w:val="21"/>
        </w:rPr>
        <w:t>名</w:t>
      </w:r>
      <w:r>
        <w:rPr>
          <w:color w:val="auto"/>
          <w:szCs w:val="21"/>
        </w:rPr>
        <w:t>的</w:t>
      </w:r>
      <w:r>
        <w:rPr>
          <w:rFonts w:hint="eastAsia"/>
          <w:color w:val="auto"/>
          <w:szCs w:val="21"/>
        </w:rPr>
        <w:t>各项</w:t>
      </w:r>
      <w:r>
        <w:rPr>
          <w:color w:val="auto"/>
          <w:szCs w:val="21"/>
        </w:rPr>
        <w:t>得分详情。</w:t>
      </w:r>
    </w:p>
    <w:p w14:paraId="3AC00248"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数据中心</w:t>
      </w:r>
      <w:r>
        <w:rPr>
          <w:rFonts w:hint="eastAsia"/>
          <w:color w:val="auto"/>
          <w:szCs w:val="21"/>
        </w:rPr>
        <w:t>】这</w:t>
      </w:r>
      <w:r>
        <w:rPr>
          <w:color w:val="auto"/>
          <w:szCs w:val="21"/>
        </w:rPr>
        <w:t>是大赛版功能，可以查看</w:t>
      </w:r>
      <w:r>
        <w:rPr>
          <w:rFonts w:hint="eastAsia"/>
          <w:color w:val="auto"/>
          <w:szCs w:val="21"/>
        </w:rPr>
        <w:t>各组税收返还数据对比、各组政府融资数据对比、各组土地征收与规划数据对比、各组主导型招商竞标决策数据对比、各组主导型结果分配数据对比、各组市政工程数据对比、各组配套型招商竞标决策数据对比、各组配套型结果分配数据对比</w:t>
      </w:r>
      <w:r>
        <w:rPr>
          <w:color w:val="auto"/>
          <w:szCs w:val="21"/>
        </w:rPr>
        <w:t>。</w:t>
      </w:r>
    </w:p>
    <w:p w14:paraId="5ECDC649"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翻年状态</w:t>
      </w:r>
      <w:r>
        <w:rPr>
          <w:rFonts w:hint="eastAsia"/>
          <w:color w:val="auto"/>
          <w:szCs w:val="21"/>
        </w:rPr>
        <w:t>】可</w:t>
      </w:r>
      <w:r>
        <w:rPr>
          <w:color w:val="auto"/>
          <w:szCs w:val="21"/>
        </w:rPr>
        <w:t>以</w:t>
      </w:r>
      <w:r>
        <w:rPr>
          <w:rFonts w:hint="eastAsia"/>
          <w:color w:val="auto"/>
          <w:szCs w:val="21"/>
          <w:lang w:eastAsia="zh-CN"/>
        </w:rPr>
        <w:t>查看</w:t>
      </w:r>
      <w:r>
        <w:rPr>
          <w:rFonts w:hint="eastAsia"/>
          <w:color w:val="auto"/>
          <w:szCs w:val="21"/>
        </w:rPr>
        <w:t>各组是否</w:t>
      </w:r>
      <w:r>
        <w:rPr>
          <w:color w:val="auto"/>
          <w:szCs w:val="21"/>
        </w:rPr>
        <w:t>进入下一年，也可以</w:t>
      </w:r>
      <w:r>
        <w:rPr>
          <w:rFonts w:hint="eastAsia"/>
          <w:color w:val="auto"/>
          <w:szCs w:val="21"/>
        </w:rPr>
        <w:t>强制全班进入下一年。</w:t>
      </w:r>
    </w:p>
    <w:p w14:paraId="18C3C2D0"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税收返还</w:t>
      </w:r>
      <w:r>
        <w:rPr>
          <w:rFonts w:hint="eastAsia"/>
          <w:color w:val="auto"/>
          <w:szCs w:val="21"/>
        </w:rPr>
        <w:t>】可设置税收返还比例，查看历</w:t>
      </w:r>
      <w:r>
        <w:rPr>
          <w:color w:val="auto"/>
          <w:szCs w:val="21"/>
        </w:rPr>
        <w:t>年各组获得的</w:t>
      </w:r>
      <w:r>
        <w:rPr>
          <w:rFonts w:hint="eastAsia"/>
          <w:color w:val="auto"/>
          <w:szCs w:val="21"/>
        </w:rPr>
        <w:t>税收返还比例与</w:t>
      </w:r>
      <w:r>
        <w:rPr>
          <w:color w:val="auto"/>
          <w:szCs w:val="21"/>
        </w:rPr>
        <w:t>金额</w:t>
      </w:r>
      <w:r>
        <w:rPr>
          <w:rFonts w:hint="eastAsia"/>
          <w:color w:val="auto"/>
          <w:szCs w:val="21"/>
        </w:rPr>
        <w:t>。</w:t>
      </w:r>
    </w:p>
    <w:p w14:paraId="75CF49BC">
      <w:pPr>
        <w:spacing w:line="360" w:lineRule="auto"/>
        <w:rPr>
          <w:rFonts w:ascii="宋体" w:hAnsi="宋体"/>
          <w:b/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土地征收与规划</w:t>
      </w:r>
      <w:r>
        <w:rPr>
          <w:rFonts w:hint="eastAsia"/>
          <w:color w:val="auto"/>
          <w:szCs w:val="21"/>
        </w:rPr>
        <w:t>】设置土地</w:t>
      </w:r>
      <w:r>
        <w:rPr>
          <w:color w:val="auto"/>
          <w:szCs w:val="21"/>
        </w:rPr>
        <w:t>规划是否限制次数，是否允许二次征地。</w:t>
      </w:r>
    </w:p>
    <w:p w14:paraId="5DCC22E3"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主导型招商引资</w:t>
      </w:r>
      <w:r>
        <w:rPr>
          <w:rFonts w:hint="eastAsia"/>
          <w:color w:val="auto"/>
          <w:szCs w:val="21"/>
        </w:rPr>
        <w:t>】设置主导型制造业</w:t>
      </w:r>
      <w:r>
        <w:rPr>
          <w:color w:val="auto"/>
          <w:szCs w:val="21"/>
        </w:rPr>
        <w:t>竞标时的工业用地地价、最低月工资</w:t>
      </w:r>
      <w:r>
        <w:rPr>
          <w:rFonts w:hint="eastAsia"/>
          <w:color w:val="auto"/>
          <w:szCs w:val="21"/>
        </w:rPr>
        <w:t>、招</w:t>
      </w:r>
      <w:r>
        <w:rPr>
          <w:color w:val="auto"/>
          <w:szCs w:val="21"/>
        </w:rPr>
        <w:t>商奖励</w:t>
      </w:r>
      <w:r>
        <w:rPr>
          <w:rFonts w:hint="eastAsia"/>
          <w:color w:val="auto"/>
          <w:szCs w:val="21"/>
        </w:rPr>
        <w:t>得</w:t>
      </w:r>
      <w:r>
        <w:rPr>
          <w:color w:val="auto"/>
          <w:szCs w:val="21"/>
        </w:rPr>
        <w:t>分</w:t>
      </w:r>
      <w:r>
        <w:rPr>
          <w:rFonts w:hint="eastAsia"/>
          <w:color w:val="auto"/>
          <w:szCs w:val="21"/>
        </w:rPr>
        <w:t>权重；同时设置主导型制造</w:t>
      </w:r>
      <w:r>
        <w:rPr>
          <w:color w:val="auto"/>
          <w:szCs w:val="21"/>
        </w:rPr>
        <w:t>业</w:t>
      </w:r>
      <w:r>
        <w:rPr>
          <w:rFonts w:hint="eastAsia"/>
          <w:color w:val="auto"/>
          <w:szCs w:val="21"/>
        </w:rPr>
        <w:t>资本</w:t>
      </w:r>
      <w:r>
        <w:rPr>
          <w:color w:val="auto"/>
          <w:szCs w:val="21"/>
        </w:rPr>
        <w:t>密集型</w:t>
      </w:r>
      <w:r>
        <w:rPr>
          <w:rFonts w:hint="eastAsia"/>
          <w:color w:val="auto"/>
          <w:szCs w:val="21"/>
        </w:rPr>
        <w:t>10亿与4亿</w:t>
      </w:r>
      <w:r>
        <w:rPr>
          <w:color w:val="auto"/>
          <w:szCs w:val="21"/>
        </w:rPr>
        <w:t>的</w:t>
      </w:r>
      <w:r>
        <w:rPr>
          <w:rFonts w:hint="eastAsia"/>
          <w:color w:val="auto"/>
          <w:szCs w:val="21"/>
        </w:rPr>
        <w:t>招商项目、</w:t>
      </w:r>
      <w:r>
        <w:rPr>
          <w:color w:val="auto"/>
          <w:szCs w:val="21"/>
        </w:rPr>
        <w:t>劳动密集型</w:t>
      </w:r>
      <w:r>
        <w:rPr>
          <w:rFonts w:hint="eastAsia"/>
          <w:color w:val="auto"/>
          <w:szCs w:val="21"/>
        </w:rPr>
        <w:t>4亿</w:t>
      </w:r>
      <w:r>
        <w:rPr>
          <w:color w:val="auto"/>
          <w:szCs w:val="21"/>
        </w:rPr>
        <w:t>与</w:t>
      </w:r>
      <w:r>
        <w:rPr>
          <w:rFonts w:hint="eastAsia"/>
          <w:color w:val="auto"/>
          <w:szCs w:val="21"/>
        </w:rPr>
        <w:t>1亿</w:t>
      </w:r>
      <w:r>
        <w:rPr>
          <w:color w:val="auto"/>
          <w:szCs w:val="21"/>
        </w:rPr>
        <w:t>的招商项目各</w:t>
      </w:r>
      <w:r>
        <w:rPr>
          <w:rFonts w:hint="eastAsia"/>
          <w:color w:val="auto"/>
          <w:szCs w:val="21"/>
        </w:rPr>
        <w:t>多</w:t>
      </w:r>
      <w:r>
        <w:rPr>
          <w:color w:val="auto"/>
          <w:szCs w:val="21"/>
        </w:rPr>
        <w:t>少个。</w:t>
      </w:r>
    </w:p>
    <w:p w14:paraId="12DB8BC8"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市政工程</w:t>
      </w:r>
      <w:r>
        <w:rPr>
          <w:rFonts w:hint="eastAsia"/>
          <w:color w:val="auto"/>
          <w:szCs w:val="21"/>
        </w:rPr>
        <w:t>】开</w:t>
      </w:r>
      <w:r>
        <w:rPr>
          <w:color w:val="auto"/>
          <w:szCs w:val="21"/>
        </w:rPr>
        <w:t>启市政工程</w:t>
      </w:r>
      <w:r>
        <w:rPr>
          <w:rFonts w:hint="eastAsia"/>
          <w:color w:val="auto"/>
          <w:szCs w:val="21"/>
        </w:rPr>
        <w:t>竞标</w:t>
      </w:r>
      <w:r>
        <w:rPr>
          <w:color w:val="auto"/>
          <w:szCs w:val="21"/>
        </w:rPr>
        <w:t>，查看哪些组未提交决策。</w:t>
      </w:r>
    </w:p>
    <w:p w14:paraId="118C9C12">
      <w:pPr>
        <w:spacing w:line="360" w:lineRule="auto"/>
        <w:rPr>
          <w:rFonts w:ascii="宋体" w:hAnsi="宋体"/>
          <w:b/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配套型与服务业招商</w:t>
      </w:r>
      <w:r>
        <w:rPr>
          <w:rFonts w:hint="eastAsia"/>
          <w:color w:val="auto"/>
          <w:szCs w:val="21"/>
        </w:rPr>
        <w:t>】设置配套型制造业和服务业</w:t>
      </w:r>
      <w:r>
        <w:rPr>
          <w:color w:val="auto"/>
          <w:szCs w:val="21"/>
        </w:rPr>
        <w:t>竞标时的工业</w:t>
      </w:r>
      <w:r>
        <w:rPr>
          <w:rFonts w:hint="eastAsia"/>
          <w:color w:val="auto"/>
          <w:szCs w:val="21"/>
        </w:rPr>
        <w:t>与</w:t>
      </w:r>
      <w:r>
        <w:rPr>
          <w:color w:val="auto"/>
          <w:szCs w:val="21"/>
        </w:rPr>
        <w:t>服务业用地地价、</w:t>
      </w:r>
      <w:r>
        <w:rPr>
          <w:rFonts w:hint="eastAsia"/>
          <w:color w:val="auto"/>
          <w:szCs w:val="21"/>
        </w:rPr>
        <w:t>累计市政</w:t>
      </w:r>
      <w:r>
        <w:rPr>
          <w:color w:val="auto"/>
          <w:szCs w:val="21"/>
        </w:rPr>
        <w:t>工程</w:t>
      </w:r>
      <w:r>
        <w:rPr>
          <w:rFonts w:hint="eastAsia"/>
          <w:color w:val="auto"/>
          <w:szCs w:val="21"/>
        </w:rPr>
        <w:t>投资</w:t>
      </w:r>
      <w:r>
        <w:rPr>
          <w:color w:val="auto"/>
          <w:szCs w:val="21"/>
        </w:rPr>
        <w:t>完成比例</w:t>
      </w:r>
      <w:r>
        <w:rPr>
          <w:rFonts w:hint="eastAsia"/>
          <w:color w:val="auto"/>
          <w:szCs w:val="21"/>
        </w:rPr>
        <w:t>、主导</w:t>
      </w:r>
      <w:r>
        <w:rPr>
          <w:color w:val="auto"/>
          <w:szCs w:val="21"/>
        </w:rPr>
        <w:t>型制造业招商额</w:t>
      </w:r>
      <w:r>
        <w:rPr>
          <w:rFonts w:hint="eastAsia"/>
          <w:color w:val="auto"/>
          <w:szCs w:val="21"/>
        </w:rPr>
        <w:t>得</w:t>
      </w:r>
      <w:r>
        <w:rPr>
          <w:color w:val="auto"/>
          <w:szCs w:val="21"/>
        </w:rPr>
        <w:t>分</w:t>
      </w:r>
      <w:r>
        <w:rPr>
          <w:rFonts w:hint="eastAsia"/>
          <w:color w:val="auto"/>
          <w:szCs w:val="21"/>
        </w:rPr>
        <w:t>权重；同时设置配套型制造业和服务业资本</w:t>
      </w:r>
      <w:r>
        <w:rPr>
          <w:color w:val="auto"/>
          <w:szCs w:val="21"/>
        </w:rPr>
        <w:t>密集型</w:t>
      </w:r>
      <w:r>
        <w:rPr>
          <w:rFonts w:hint="eastAsia"/>
          <w:color w:val="auto"/>
          <w:szCs w:val="21"/>
        </w:rPr>
        <w:t>10亿与4亿</w:t>
      </w:r>
      <w:r>
        <w:rPr>
          <w:color w:val="auto"/>
          <w:szCs w:val="21"/>
        </w:rPr>
        <w:t>的</w:t>
      </w:r>
      <w:r>
        <w:rPr>
          <w:rFonts w:hint="eastAsia"/>
          <w:color w:val="auto"/>
          <w:szCs w:val="21"/>
        </w:rPr>
        <w:t>招商项目、</w:t>
      </w:r>
      <w:r>
        <w:rPr>
          <w:color w:val="auto"/>
          <w:szCs w:val="21"/>
        </w:rPr>
        <w:t>劳动密集型</w:t>
      </w:r>
      <w:r>
        <w:rPr>
          <w:rFonts w:hint="eastAsia"/>
          <w:color w:val="auto"/>
          <w:szCs w:val="21"/>
        </w:rPr>
        <w:t>4亿</w:t>
      </w:r>
      <w:r>
        <w:rPr>
          <w:color w:val="auto"/>
          <w:szCs w:val="21"/>
        </w:rPr>
        <w:t>与</w:t>
      </w:r>
      <w:r>
        <w:rPr>
          <w:rFonts w:hint="eastAsia"/>
          <w:color w:val="auto"/>
          <w:szCs w:val="21"/>
        </w:rPr>
        <w:t>生产</w:t>
      </w:r>
      <w:r>
        <w:rPr>
          <w:color w:val="auto"/>
          <w:szCs w:val="21"/>
        </w:rPr>
        <w:t>服务业</w:t>
      </w:r>
      <w:r>
        <w:rPr>
          <w:rFonts w:hint="eastAsia"/>
          <w:color w:val="auto"/>
          <w:szCs w:val="21"/>
        </w:rPr>
        <w:t>1亿</w:t>
      </w:r>
      <w:r>
        <w:rPr>
          <w:color w:val="auto"/>
          <w:szCs w:val="21"/>
        </w:rPr>
        <w:t>的招商项目各</w:t>
      </w:r>
      <w:r>
        <w:rPr>
          <w:rFonts w:hint="eastAsia"/>
          <w:color w:val="auto"/>
          <w:szCs w:val="21"/>
        </w:rPr>
        <w:t>多</w:t>
      </w:r>
      <w:r>
        <w:rPr>
          <w:color w:val="auto"/>
          <w:szCs w:val="21"/>
        </w:rPr>
        <w:t>少个。</w:t>
      </w:r>
    </w:p>
    <w:p w14:paraId="0FA7029C"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企业扶持</w:t>
      </w:r>
      <w:r>
        <w:rPr>
          <w:rFonts w:hint="eastAsia"/>
          <w:color w:val="auto"/>
          <w:szCs w:val="21"/>
        </w:rPr>
        <w:t>】设置高端人才竞标</w:t>
      </w:r>
      <w:r>
        <w:rPr>
          <w:color w:val="auto"/>
          <w:szCs w:val="21"/>
        </w:rPr>
        <w:t>中的补贴、新增招商额</w:t>
      </w:r>
      <w:r>
        <w:rPr>
          <w:rFonts w:hint="eastAsia"/>
          <w:color w:val="auto"/>
          <w:szCs w:val="21"/>
        </w:rPr>
        <w:t>得分权重；设置企业活力指数竞标中</w:t>
      </w:r>
      <w:r>
        <w:rPr>
          <w:color w:val="auto"/>
          <w:szCs w:val="21"/>
        </w:rPr>
        <w:t>的</w:t>
      </w:r>
      <w:r>
        <w:rPr>
          <w:rFonts w:hint="eastAsia"/>
          <w:color w:val="auto"/>
          <w:szCs w:val="21"/>
        </w:rPr>
        <w:t>企业</w:t>
      </w:r>
      <w:r>
        <w:rPr>
          <w:color w:val="auto"/>
          <w:szCs w:val="21"/>
        </w:rPr>
        <w:t>补贴占上年税费比例、以前年度活力指数、本年吸引高端人才数量得分</w:t>
      </w:r>
      <w:r>
        <w:rPr>
          <w:rFonts w:hint="eastAsia"/>
          <w:color w:val="auto"/>
          <w:szCs w:val="21"/>
        </w:rPr>
        <w:t>权重。</w:t>
      </w:r>
    </w:p>
    <w:p w14:paraId="0ED248E5"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企业迁移</w:t>
      </w:r>
      <w:r>
        <w:rPr>
          <w:rFonts w:hint="eastAsia"/>
          <w:color w:val="auto"/>
          <w:szCs w:val="21"/>
        </w:rPr>
        <w:t>】一键开启企业迁移，查看各</w:t>
      </w:r>
      <w:r>
        <w:rPr>
          <w:color w:val="auto"/>
          <w:szCs w:val="21"/>
        </w:rPr>
        <w:t>组</w:t>
      </w:r>
      <w:r>
        <w:rPr>
          <w:rFonts w:hint="eastAsia"/>
          <w:color w:val="auto"/>
          <w:szCs w:val="21"/>
        </w:rPr>
        <w:t>企业迁入</w:t>
      </w:r>
      <w:r>
        <w:rPr>
          <w:color w:val="auto"/>
          <w:szCs w:val="21"/>
        </w:rPr>
        <w:t>与迁出的</w:t>
      </w:r>
      <w:r>
        <w:rPr>
          <w:rFonts w:hint="eastAsia"/>
          <w:color w:val="auto"/>
          <w:szCs w:val="21"/>
        </w:rPr>
        <w:t>历史数据。</w:t>
      </w:r>
    </w:p>
    <w:p w14:paraId="70FD14AF"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无人值守</w:t>
      </w:r>
      <w:r>
        <w:rPr>
          <w:rFonts w:hint="eastAsia"/>
          <w:color w:val="auto"/>
          <w:szCs w:val="21"/>
        </w:rPr>
        <w:t>】此</w:t>
      </w:r>
      <w:r>
        <w:rPr>
          <w:color w:val="auto"/>
          <w:szCs w:val="21"/>
        </w:rPr>
        <w:t>为大</w:t>
      </w:r>
      <w:r>
        <w:rPr>
          <w:rFonts w:hint="eastAsia"/>
          <w:color w:val="auto"/>
          <w:szCs w:val="21"/>
        </w:rPr>
        <w:t>赛</w:t>
      </w:r>
      <w:r>
        <w:rPr>
          <w:color w:val="auto"/>
          <w:szCs w:val="21"/>
        </w:rPr>
        <w:t>功能，可以通过设置各决策步骤的倒计</w:t>
      </w:r>
      <w:r>
        <w:rPr>
          <w:rFonts w:hint="eastAsia"/>
          <w:color w:val="auto"/>
          <w:szCs w:val="21"/>
        </w:rPr>
        <w:t>时实现无教师自动运行实验；</w:t>
      </w:r>
      <w:r>
        <w:rPr>
          <w:color w:val="auto"/>
          <w:szCs w:val="21"/>
        </w:rPr>
        <w:t>同时一旦发现有</w:t>
      </w:r>
      <w:r>
        <w:rPr>
          <w:rFonts w:hint="eastAsia"/>
          <w:color w:val="auto"/>
          <w:szCs w:val="21"/>
        </w:rPr>
        <w:t>学员离线实现自动暂停功能。</w:t>
      </w:r>
      <w:r>
        <w:rPr>
          <w:color w:val="auto"/>
          <w:szCs w:val="21"/>
        </w:rPr>
        <w:t>有</w:t>
      </w:r>
      <w:r>
        <w:rPr>
          <w:rFonts w:hint="eastAsia"/>
          <w:color w:val="auto"/>
          <w:szCs w:val="21"/>
        </w:rPr>
        <w:t>助</w:t>
      </w:r>
      <w:r>
        <w:rPr>
          <w:color w:val="auto"/>
          <w:szCs w:val="21"/>
        </w:rPr>
        <w:t>于</w:t>
      </w:r>
      <w:r>
        <w:rPr>
          <w:rFonts w:hint="eastAsia"/>
          <w:color w:val="auto"/>
          <w:szCs w:val="21"/>
        </w:rPr>
        <w:t>大</w:t>
      </w:r>
      <w:r>
        <w:rPr>
          <w:color w:val="auto"/>
          <w:szCs w:val="21"/>
        </w:rPr>
        <w:t>大减少教师授课负</w:t>
      </w:r>
      <w:r>
        <w:rPr>
          <w:rFonts w:hint="eastAsia"/>
          <w:color w:val="auto"/>
          <w:szCs w:val="21"/>
        </w:rPr>
        <w:t>担</w:t>
      </w:r>
      <w:r>
        <w:rPr>
          <w:color w:val="auto"/>
          <w:szCs w:val="21"/>
        </w:rPr>
        <w:t>。</w:t>
      </w:r>
    </w:p>
    <w:p w14:paraId="14BDEBF8"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云端部署</w:t>
      </w:r>
      <w:r>
        <w:rPr>
          <w:rFonts w:hint="eastAsia"/>
          <w:color w:val="auto"/>
          <w:szCs w:val="21"/>
        </w:rPr>
        <w:t>】此</w:t>
      </w:r>
      <w:r>
        <w:rPr>
          <w:color w:val="auto"/>
          <w:szCs w:val="21"/>
        </w:rPr>
        <w:t>为大</w:t>
      </w:r>
      <w:r>
        <w:rPr>
          <w:rFonts w:hint="eastAsia"/>
          <w:color w:val="auto"/>
          <w:szCs w:val="21"/>
        </w:rPr>
        <w:t>赛</w:t>
      </w:r>
      <w:r>
        <w:rPr>
          <w:color w:val="auto"/>
          <w:szCs w:val="21"/>
        </w:rPr>
        <w:t>功能，</w:t>
      </w:r>
      <w:r>
        <w:rPr>
          <w:rFonts w:hint="eastAsia"/>
          <w:color w:val="auto"/>
          <w:szCs w:val="21"/>
        </w:rPr>
        <w:t>可</w:t>
      </w:r>
      <w:r>
        <w:rPr>
          <w:color w:val="auto"/>
          <w:szCs w:val="21"/>
        </w:rPr>
        <w:t>实现</w:t>
      </w:r>
      <w:r>
        <w:rPr>
          <w:rFonts w:hint="eastAsia"/>
          <w:color w:val="auto"/>
          <w:szCs w:val="21"/>
        </w:rPr>
        <w:t>大用户量访问负载均衡，</w:t>
      </w:r>
      <w:r>
        <w:rPr>
          <w:color w:val="auto"/>
          <w:szCs w:val="21"/>
        </w:rPr>
        <w:t>运行更加流畅；同时</w:t>
      </w:r>
      <w:r>
        <w:rPr>
          <w:rFonts w:hint="eastAsia"/>
          <w:color w:val="auto"/>
          <w:szCs w:val="21"/>
        </w:rPr>
        <w:t>不限地域使用，</w:t>
      </w:r>
      <w:r>
        <w:rPr>
          <w:color w:val="auto"/>
          <w:szCs w:val="21"/>
        </w:rPr>
        <w:t>学生在教室、</w:t>
      </w:r>
      <w:r>
        <w:rPr>
          <w:rFonts w:hint="eastAsia"/>
          <w:color w:val="auto"/>
          <w:szCs w:val="21"/>
        </w:rPr>
        <w:t>机房</w:t>
      </w:r>
      <w:r>
        <w:rPr>
          <w:color w:val="auto"/>
          <w:szCs w:val="21"/>
        </w:rPr>
        <w:t>、宿舍等均可自由</w:t>
      </w:r>
      <w:r>
        <w:rPr>
          <w:rFonts w:hint="eastAsia"/>
          <w:color w:val="auto"/>
          <w:szCs w:val="21"/>
        </w:rPr>
        <w:t>访</w:t>
      </w:r>
      <w:r>
        <w:rPr>
          <w:color w:val="auto"/>
          <w:szCs w:val="21"/>
        </w:rPr>
        <w:t>问。</w:t>
      </w:r>
    </w:p>
    <w:p w14:paraId="6D06FD95"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危机管理</w:t>
      </w:r>
      <w:r>
        <w:rPr>
          <w:rFonts w:hint="eastAsia"/>
          <w:color w:val="auto"/>
          <w:szCs w:val="21"/>
        </w:rPr>
        <w:t>】教师</w:t>
      </w:r>
      <w:r>
        <w:rPr>
          <w:color w:val="auto"/>
          <w:szCs w:val="21"/>
        </w:rPr>
        <w:t>可以选择是否</w:t>
      </w:r>
      <w:r>
        <w:rPr>
          <w:rFonts w:hint="eastAsia"/>
          <w:color w:val="auto"/>
          <w:szCs w:val="21"/>
        </w:rPr>
        <w:t>开启危机事件，</w:t>
      </w:r>
      <w:r>
        <w:rPr>
          <w:color w:val="auto"/>
          <w:szCs w:val="21"/>
        </w:rPr>
        <w:t>并</w:t>
      </w:r>
      <w:r>
        <w:rPr>
          <w:rFonts w:hint="eastAsia"/>
          <w:color w:val="auto"/>
          <w:szCs w:val="21"/>
        </w:rPr>
        <w:t>查看历</w:t>
      </w:r>
      <w:r>
        <w:rPr>
          <w:color w:val="auto"/>
          <w:szCs w:val="21"/>
        </w:rPr>
        <w:t>年</w:t>
      </w:r>
      <w:r>
        <w:rPr>
          <w:rFonts w:hint="eastAsia"/>
          <w:color w:val="auto"/>
          <w:szCs w:val="21"/>
        </w:rPr>
        <w:t>哪</w:t>
      </w:r>
      <w:r>
        <w:rPr>
          <w:color w:val="auto"/>
          <w:szCs w:val="21"/>
        </w:rPr>
        <w:t>些组遇到哪些危机事件。</w:t>
      </w:r>
    </w:p>
    <w:p w14:paraId="3024BD0B">
      <w:pPr>
        <w:keepNext/>
        <w:keepLines/>
        <w:spacing w:before="280" w:after="290" w:line="376" w:lineRule="auto"/>
        <w:outlineLvl w:val="3"/>
        <w:rPr>
          <w:rFonts w:ascii="Arial" w:hAnsi="Arial" w:eastAsia="黑体"/>
          <w:b/>
          <w:bCs/>
          <w:color w:val="auto"/>
          <w:szCs w:val="21"/>
        </w:rPr>
      </w:pPr>
      <w:bookmarkStart w:id="57" w:name="_Toc279650540"/>
      <w:r>
        <w:rPr>
          <w:rFonts w:hint="eastAsia" w:ascii="Arial" w:hAnsi="Arial" w:eastAsia="黑体"/>
          <w:b/>
          <w:bCs/>
          <w:color w:val="auto"/>
          <w:szCs w:val="21"/>
        </w:rPr>
        <w:t>（二）学生端功能</w:t>
      </w:r>
      <w:bookmarkEnd w:id="57"/>
    </w:p>
    <w:p w14:paraId="2B9271E4">
      <w:pPr>
        <w:spacing w:line="360" w:lineRule="auto"/>
        <w:rPr>
          <w:rFonts w:ascii="宋体" w:hAnsi="宋体"/>
          <w:b/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帮助中心</w:t>
      </w:r>
      <w:r>
        <w:rPr>
          <w:rFonts w:hint="eastAsia"/>
          <w:color w:val="auto"/>
          <w:szCs w:val="21"/>
        </w:rPr>
        <w:t>】可</w:t>
      </w:r>
      <w:r>
        <w:rPr>
          <w:color w:val="auto"/>
          <w:szCs w:val="21"/>
        </w:rPr>
        <w:t>以</w:t>
      </w:r>
      <w:r>
        <w:rPr>
          <w:rFonts w:hint="eastAsia"/>
          <w:color w:val="auto"/>
          <w:szCs w:val="21"/>
        </w:rPr>
        <w:t>在</w:t>
      </w:r>
      <w:r>
        <w:rPr>
          <w:rFonts w:hint="eastAsia"/>
          <w:color w:val="auto"/>
          <w:szCs w:val="21"/>
          <w:lang w:val="en-US" w:eastAsia="zh-CN"/>
        </w:rPr>
        <w:t>授课PPT和作业</w:t>
      </w:r>
      <w:r>
        <w:rPr>
          <w:color w:val="auto"/>
          <w:szCs w:val="21"/>
        </w:rPr>
        <w:t>中看到各</w:t>
      </w:r>
      <w:r>
        <w:rPr>
          <w:rFonts w:hint="eastAsia"/>
          <w:color w:val="auto"/>
          <w:szCs w:val="21"/>
        </w:rPr>
        <w:t>主</w:t>
      </w:r>
      <w:r>
        <w:rPr>
          <w:color w:val="auto"/>
          <w:szCs w:val="21"/>
        </w:rPr>
        <w:t>要决策步骤的讲解；在帮助中心可以看到</w:t>
      </w:r>
      <w:r>
        <w:rPr>
          <w:rFonts w:hint="eastAsia"/>
          <w:color w:val="auto"/>
          <w:szCs w:val="21"/>
        </w:rPr>
        <w:t>一</w:t>
      </w:r>
      <w:r>
        <w:rPr>
          <w:color w:val="auto"/>
          <w:szCs w:val="21"/>
        </w:rPr>
        <w:t>些</w:t>
      </w:r>
      <w:r>
        <w:rPr>
          <w:rFonts w:hint="eastAsia"/>
          <w:color w:val="auto"/>
          <w:szCs w:val="21"/>
        </w:rPr>
        <w:t>规则</w:t>
      </w:r>
      <w:r>
        <w:rPr>
          <w:color w:val="auto"/>
          <w:szCs w:val="21"/>
        </w:rPr>
        <w:t>与操作方面疑难</w:t>
      </w:r>
      <w:r>
        <w:rPr>
          <w:rFonts w:hint="eastAsia"/>
          <w:color w:val="auto"/>
          <w:szCs w:val="21"/>
        </w:rPr>
        <w:t>问题</w:t>
      </w:r>
      <w:r>
        <w:rPr>
          <w:color w:val="auto"/>
          <w:szCs w:val="21"/>
        </w:rPr>
        <w:t>的解答。</w:t>
      </w:r>
    </w:p>
    <w:p w14:paraId="310FF330">
      <w:pPr>
        <w:spacing w:line="360" w:lineRule="auto"/>
        <w:rPr>
          <w:rFonts w:ascii="宋体" w:hAnsi="宋体"/>
          <w:b/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财政预算</w:t>
      </w:r>
      <w:r>
        <w:rPr>
          <w:rFonts w:hint="eastAsia"/>
          <w:color w:val="auto"/>
          <w:szCs w:val="21"/>
        </w:rPr>
        <w:t>】分</w:t>
      </w:r>
      <w:r>
        <w:rPr>
          <w:color w:val="auto"/>
          <w:szCs w:val="21"/>
        </w:rPr>
        <w:t>为支出预算与收入预算，这里要</w:t>
      </w:r>
      <w:r>
        <w:rPr>
          <w:rFonts w:hint="eastAsia"/>
          <w:color w:val="auto"/>
          <w:szCs w:val="21"/>
        </w:rPr>
        <w:t>填</w:t>
      </w:r>
      <w:r>
        <w:rPr>
          <w:color w:val="auto"/>
          <w:szCs w:val="21"/>
        </w:rPr>
        <w:t>写各项支出的明细预计值与各项收入的明细预计值。</w:t>
      </w:r>
    </w:p>
    <w:p w14:paraId="3F25FF7B"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政府融资</w:t>
      </w:r>
      <w:r>
        <w:rPr>
          <w:rFonts w:hint="eastAsia"/>
          <w:color w:val="auto"/>
          <w:szCs w:val="21"/>
        </w:rPr>
        <w:t>】政府</w:t>
      </w:r>
      <w:r>
        <w:rPr>
          <w:color w:val="auto"/>
          <w:szCs w:val="21"/>
        </w:rPr>
        <w:t>可以</w:t>
      </w:r>
      <w:r>
        <w:rPr>
          <w:rFonts w:hint="eastAsia"/>
          <w:color w:val="auto"/>
          <w:szCs w:val="21"/>
        </w:rPr>
        <w:t>发行一</w:t>
      </w:r>
      <w:r>
        <w:rPr>
          <w:color w:val="auto"/>
          <w:szCs w:val="21"/>
        </w:rPr>
        <w:t>年期、二年期、三年期</w:t>
      </w:r>
      <w:r>
        <w:rPr>
          <w:rFonts w:hint="eastAsia"/>
          <w:color w:val="auto"/>
          <w:szCs w:val="21"/>
        </w:rPr>
        <w:t>政府债券，查看本</w:t>
      </w:r>
      <w:r>
        <w:rPr>
          <w:color w:val="auto"/>
          <w:szCs w:val="21"/>
        </w:rPr>
        <w:t>组</w:t>
      </w:r>
      <w:r>
        <w:rPr>
          <w:rFonts w:hint="eastAsia"/>
          <w:color w:val="auto"/>
          <w:szCs w:val="21"/>
        </w:rPr>
        <w:t>政府债券</w:t>
      </w:r>
      <w:r>
        <w:rPr>
          <w:color w:val="auto"/>
          <w:szCs w:val="21"/>
        </w:rPr>
        <w:t>各期</w:t>
      </w:r>
      <w:r>
        <w:rPr>
          <w:rFonts w:hint="eastAsia"/>
          <w:color w:val="auto"/>
          <w:szCs w:val="21"/>
        </w:rPr>
        <w:t>余额</w:t>
      </w:r>
      <w:r>
        <w:rPr>
          <w:color w:val="auto"/>
          <w:szCs w:val="21"/>
        </w:rPr>
        <w:t>、利息支出金额</w:t>
      </w:r>
      <w:r>
        <w:rPr>
          <w:rFonts w:hint="eastAsia"/>
          <w:color w:val="auto"/>
          <w:szCs w:val="21"/>
        </w:rPr>
        <w:t>。也</w:t>
      </w:r>
      <w:r>
        <w:rPr>
          <w:color w:val="auto"/>
          <w:szCs w:val="21"/>
        </w:rPr>
        <w:t>可以</w:t>
      </w:r>
      <w:r>
        <w:rPr>
          <w:rFonts w:hint="eastAsia"/>
          <w:color w:val="auto"/>
          <w:szCs w:val="21"/>
        </w:rPr>
        <w:t>输</w:t>
      </w:r>
      <w:r>
        <w:rPr>
          <w:color w:val="auto"/>
          <w:szCs w:val="21"/>
        </w:rPr>
        <w:t>入不同金额</w:t>
      </w:r>
      <w:r>
        <w:rPr>
          <w:rFonts w:hint="eastAsia"/>
          <w:color w:val="auto"/>
          <w:szCs w:val="21"/>
        </w:rPr>
        <w:t>的</w:t>
      </w:r>
      <w:r>
        <w:rPr>
          <w:color w:val="auto"/>
          <w:szCs w:val="21"/>
        </w:rPr>
        <w:t>各</w:t>
      </w:r>
      <w:r>
        <w:rPr>
          <w:rFonts w:hint="eastAsia"/>
          <w:color w:val="auto"/>
          <w:szCs w:val="21"/>
        </w:rPr>
        <w:t>期</w:t>
      </w:r>
      <w:r>
        <w:rPr>
          <w:color w:val="auto"/>
          <w:szCs w:val="21"/>
        </w:rPr>
        <w:t>政府债券快速计算应付</w:t>
      </w:r>
      <w:r>
        <w:rPr>
          <w:rFonts w:hint="eastAsia"/>
          <w:color w:val="auto"/>
          <w:szCs w:val="21"/>
        </w:rPr>
        <w:t>利息。</w:t>
      </w:r>
      <w:r>
        <w:rPr>
          <w:rFonts w:hint="eastAsia" w:ascii="宋体" w:hAnsi="宋体"/>
          <w:color w:val="auto"/>
          <w:szCs w:val="21"/>
        </w:rPr>
        <w:t>同时可以组间融资。</w:t>
      </w:r>
    </w:p>
    <w:p w14:paraId="616BA318"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土地征收与规划</w:t>
      </w:r>
      <w:r>
        <w:rPr>
          <w:rFonts w:hint="eastAsia"/>
          <w:color w:val="auto"/>
          <w:szCs w:val="21"/>
        </w:rPr>
        <w:t>】参考历</w:t>
      </w:r>
      <w:r>
        <w:rPr>
          <w:color w:val="auto"/>
          <w:szCs w:val="21"/>
        </w:rPr>
        <w:t>年</w:t>
      </w:r>
      <w:r>
        <w:rPr>
          <w:rFonts w:hint="eastAsia"/>
          <w:color w:val="auto"/>
          <w:szCs w:val="21"/>
        </w:rPr>
        <w:t>土地征收数据决定土地征收数量</w:t>
      </w:r>
      <w:r>
        <w:rPr>
          <w:color w:val="auto"/>
          <w:szCs w:val="21"/>
        </w:rPr>
        <w:t>与补偿单价，</w:t>
      </w:r>
      <w:r>
        <w:rPr>
          <w:rFonts w:hint="eastAsia"/>
          <w:color w:val="auto"/>
          <w:szCs w:val="21"/>
        </w:rPr>
        <w:t>参考</w:t>
      </w:r>
      <w:r>
        <w:rPr>
          <w:color w:val="auto"/>
          <w:szCs w:val="21"/>
        </w:rPr>
        <w:t>历年</w:t>
      </w:r>
      <w:r>
        <w:rPr>
          <w:rFonts w:hint="eastAsia"/>
          <w:color w:val="auto"/>
          <w:szCs w:val="21"/>
        </w:rPr>
        <w:t>各</w:t>
      </w:r>
      <w:r>
        <w:rPr>
          <w:color w:val="auto"/>
          <w:szCs w:val="21"/>
        </w:rPr>
        <w:t>组三类用地规划数据与剩余数量，规划本年</w:t>
      </w:r>
      <w:r>
        <w:rPr>
          <w:rFonts w:hint="eastAsia"/>
          <w:color w:val="auto"/>
          <w:szCs w:val="21"/>
        </w:rPr>
        <w:t>土地用</w:t>
      </w:r>
      <w:r>
        <w:rPr>
          <w:color w:val="auto"/>
          <w:szCs w:val="21"/>
        </w:rPr>
        <w:t>于工业与服务业、公共事业、住宅</w:t>
      </w:r>
      <w:r>
        <w:rPr>
          <w:rFonts w:hint="eastAsia"/>
          <w:color w:val="auto"/>
          <w:szCs w:val="21"/>
        </w:rPr>
        <w:t>用</w:t>
      </w:r>
      <w:r>
        <w:rPr>
          <w:color w:val="auto"/>
          <w:szCs w:val="21"/>
        </w:rPr>
        <w:t>地的数量</w:t>
      </w:r>
      <w:r>
        <w:rPr>
          <w:rFonts w:hint="eastAsia"/>
          <w:color w:val="auto"/>
          <w:szCs w:val="21"/>
        </w:rPr>
        <w:t xml:space="preserve">。 </w:t>
      </w:r>
    </w:p>
    <w:p w14:paraId="21638DDC">
      <w:pPr>
        <w:spacing w:line="360" w:lineRule="auto"/>
        <w:rPr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【</w:t>
      </w:r>
      <w:r>
        <w:rPr>
          <w:rFonts w:hint="eastAsia" w:ascii="宋体" w:hAnsi="宋体"/>
          <w:b/>
          <w:bCs/>
          <w:color w:val="auto"/>
          <w:szCs w:val="21"/>
        </w:rPr>
        <w:t>腾笼换鸟</w:t>
      </w:r>
      <w:r>
        <w:rPr>
          <w:rFonts w:hint="eastAsia" w:ascii="宋体" w:hAnsi="宋体"/>
          <w:color w:val="auto"/>
          <w:szCs w:val="21"/>
        </w:rPr>
        <w:t>】政府可以通过腾笼换鸟将本地区企业迁出，腾出土地引进其他地区更先进的企业。</w:t>
      </w:r>
    </w:p>
    <w:p w14:paraId="04A0E225">
      <w:pPr>
        <w:spacing w:line="360" w:lineRule="auto"/>
        <w:rPr>
          <w:rFonts w:ascii="宋体" w:hAnsi="宋体"/>
          <w:b/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主导型制造业招商</w:t>
      </w:r>
      <w:r>
        <w:rPr>
          <w:rFonts w:hint="eastAsia"/>
          <w:color w:val="auto"/>
          <w:szCs w:val="21"/>
        </w:rPr>
        <w:t>】通</w:t>
      </w:r>
      <w:r>
        <w:rPr>
          <w:color w:val="auto"/>
          <w:szCs w:val="21"/>
        </w:rPr>
        <w:t>过</w:t>
      </w:r>
      <w:r>
        <w:rPr>
          <w:rFonts w:hint="eastAsia"/>
          <w:color w:val="auto"/>
          <w:szCs w:val="21"/>
        </w:rPr>
        <w:t>主导型制造业模拟工具，决定</w:t>
      </w:r>
      <w:r>
        <w:rPr>
          <w:color w:val="auto"/>
          <w:szCs w:val="21"/>
        </w:rPr>
        <w:t>本年</w:t>
      </w:r>
      <w:r>
        <w:rPr>
          <w:rFonts w:hint="eastAsia"/>
          <w:color w:val="auto"/>
          <w:szCs w:val="21"/>
        </w:rPr>
        <w:t>政府采</w:t>
      </w:r>
      <w:r>
        <w:rPr>
          <w:color w:val="auto"/>
          <w:szCs w:val="21"/>
        </w:rPr>
        <w:t>取哪类</w:t>
      </w:r>
      <w:r>
        <w:rPr>
          <w:rFonts w:hint="eastAsia"/>
          <w:color w:val="auto"/>
          <w:szCs w:val="21"/>
        </w:rPr>
        <w:t>效能改革，通</w:t>
      </w:r>
      <w:r>
        <w:rPr>
          <w:color w:val="auto"/>
          <w:szCs w:val="21"/>
        </w:rPr>
        <w:t>过</w:t>
      </w:r>
      <w:r>
        <w:rPr>
          <w:rFonts w:hint="eastAsia"/>
          <w:color w:val="auto"/>
          <w:szCs w:val="21"/>
        </w:rPr>
        <w:t>主</w:t>
      </w:r>
      <w:r>
        <w:rPr>
          <w:color w:val="auto"/>
          <w:szCs w:val="21"/>
        </w:rPr>
        <w:t>导型</w:t>
      </w:r>
      <w:r>
        <w:rPr>
          <w:rFonts w:hint="eastAsia"/>
          <w:color w:val="auto"/>
          <w:szCs w:val="21"/>
        </w:rPr>
        <w:t>工</w:t>
      </w:r>
      <w:r>
        <w:rPr>
          <w:color w:val="auto"/>
          <w:szCs w:val="21"/>
        </w:rPr>
        <w:t>业用地</w:t>
      </w:r>
      <w:r>
        <w:rPr>
          <w:rFonts w:hint="eastAsia"/>
          <w:color w:val="auto"/>
          <w:szCs w:val="21"/>
        </w:rPr>
        <w:t>价格</w:t>
      </w:r>
      <w:r>
        <w:rPr>
          <w:color w:val="auto"/>
          <w:szCs w:val="21"/>
        </w:rPr>
        <w:t>、</w:t>
      </w:r>
      <w:r>
        <w:rPr>
          <w:rFonts w:hint="eastAsia"/>
          <w:color w:val="auto"/>
          <w:szCs w:val="21"/>
        </w:rPr>
        <w:t>最低</w:t>
      </w:r>
      <w:r>
        <w:rPr>
          <w:color w:val="auto"/>
          <w:szCs w:val="21"/>
        </w:rPr>
        <w:t>月工资</w:t>
      </w:r>
      <w:r>
        <w:rPr>
          <w:rFonts w:hint="eastAsia"/>
          <w:color w:val="auto"/>
          <w:szCs w:val="21"/>
        </w:rPr>
        <w:t>、招商引</w:t>
      </w:r>
      <w:r>
        <w:rPr>
          <w:color w:val="auto"/>
          <w:szCs w:val="21"/>
        </w:rPr>
        <w:t>资奖励比例吸引招商项目，查看各组招商引资</w:t>
      </w:r>
      <w:r>
        <w:rPr>
          <w:rFonts w:hint="eastAsia"/>
          <w:color w:val="auto"/>
          <w:szCs w:val="21"/>
        </w:rPr>
        <w:t>金额。通</w:t>
      </w:r>
      <w:r>
        <w:rPr>
          <w:color w:val="auto"/>
          <w:szCs w:val="21"/>
        </w:rPr>
        <w:t>过</w:t>
      </w:r>
      <w:r>
        <w:rPr>
          <w:rFonts w:hint="eastAsia"/>
          <w:color w:val="auto"/>
          <w:szCs w:val="21"/>
        </w:rPr>
        <w:t>查看各</w:t>
      </w:r>
      <w:r>
        <w:rPr>
          <w:color w:val="auto"/>
          <w:szCs w:val="21"/>
        </w:rPr>
        <w:t>组</w:t>
      </w:r>
      <w:r>
        <w:rPr>
          <w:rFonts w:hint="eastAsia"/>
          <w:color w:val="auto"/>
          <w:szCs w:val="21"/>
        </w:rPr>
        <w:t>主导型制造业招商项目历史数据，设定本组主导型制造</w:t>
      </w:r>
      <w:r>
        <w:rPr>
          <w:color w:val="auto"/>
          <w:szCs w:val="21"/>
        </w:rPr>
        <w:t>业</w:t>
      </w:r>
      <w:r>
        <w:rPr>
          <w:rFonts w:hint="eastAsia"/>
          <w:color w:val="auto"/>
          <w:szCs w:val="21"/>
        </w:rPr>
        <w:t>资本</w:t>
      </w:r>
      <w:r>
        <w:rPr>
          <w:color w:val="auto"/>
          <w:szCs w:val="21"/>
        </w:rPr>
        <w:t>密集型</w:t>
      </w:r>
      <w:r>
        <w:rPr>
          <w:rFonts w:hint="eastAsia"/>
          <w:color w:val="auto"/>
          <w:szCs w:val="21"/>
        </w:rPr>
        <w:t>10亿与4亿</w:t>
      </w:r>
      <w:r>
        <w:rPr>
          <w:color w:val="auto"/>
          <w:szCs w:val="21"/>
        </w:rPr>
        <w:t>的</w:t>
      </w:r>
      <w:r>
        <w:rPr>
          <w:rFonts w:hint="eastAsia"/>
          <w:color w:val="auto"/>
          <w:szCs w:val="21"/>
        </w:rPr>
        <w:t>招商项目、</w:t>
      </w:r>
      <w:r>
        <w:rPr>
          <w:color w:val="auto"/>
          <w:szCs w:val="21"/>
        </w:rPr>
        <w:t>劳动密集型</w:t>
      </w:r>
      <w:r>
        <w:rPr>
          <w:rFonts w:hint="eastAsia"/>
          <w:color w:val="auto"/>
          <w:szCs w:val="21"/>
        </w:rPr>
        <w:t>4亿</w:t>
      </w:r>
      <w:r>
        <w:rPr>
          <w:color w:val="auto"/>
          <w:szCs w:val="21"/>
        </w:rPr>
        <w:t>与</w:t>
      </w:r>
      <w:r>
        <w:rPr>
          <w:rFonts w:hint="eastAsia"/>
          <w:color w:val="auto"/>
          <w:szCs w:val="21"/>
        </w:rPr>
        <w:t>1亿</w:t>
      </w:r>
      <w:r>
        <w:rPr>
          <w:color w:val="auto"/>
          <w:szCs w:val="21"/>
        </w:rPr>
        <w:t>的招商项目</w:t>
      </w:r>
      <w:r>
        <w:rPr>
          <w:rFonts w:hint="eastAsia"/>
          <w:color w:val="auto"/>
          <w:szCs w:val="21"/>
        </w:rPr>
        <w:t>的</w:t>
      </w:r>
      <w:r>
        <w:rPr>
          <w:color w:val="auto"/>
          <w:szCs w:val="21"/>
        </w:rPr>
        <w:t>优先顺序</w:t>
      </w:r>
      <w:r>
        <w:rPr>
          <w:rFonts w:hint="eastAsia"/>
          <w:color w:val="auto"/>
          <w:szCs w:val="21"/>
        </w:rPr>
        <w:t>，</w:t>
      </w:r>
      <w:r>
        <w:rPr>
          <w:color w:val="auto"/>
          <w:szCs w:val="21"/>
        </w:rPr>
        <w:t>获得招商项目</w:t>
      </w:r>
      <w:r>
        <w:rPr>
          <w:rFonts w:hint="eastAsia" w:ascii="宋体" w:hAnsi="宋体"/>
          <w:color w:val="auto"/>
          <w:szCs w:val="21"/>
        </w:rPr>
        <w:t>，招商目标未达成还可与其他政府合作招商。</w:t>
      </w:r>
    </w:p>
    <w:p w14:paraId="5C0C64CA"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市政工程</w:t>
      </w:r>
      <w:r>
        <w:rPr>
          <w:rFonts w:hint="eastAsia"/>
          <w:color w:val="auto"/>
          <w:szCs w:val="21"/>
        </w:rPr>
        <w:t>】通</w:t>
      </w:r>
      <w:r>
        <w:rPr>
          <w:color w:val="auto"/>
          <w:szCs w:val="21"/>
        </w:rPr>
        <w:t>过</w:t>
      </w:r>
      <w:r>
        <w:rPr>
          <w:rFonts w:hint="eastAsia"/>
          <w:color w:val="auto"/>
          <w:szCs w:val="21"/>
        </w:rPr>
        <w:t>市政工程投资模拟工具</w:t>
      </w:r>
      <w:r>
        <w:rPr>
          <w:color w:val="auto"/>
          <w:szCs w:val="21"/>
        </w:rPr>
        <w:t>，</w:t>
      </w:r>
      <w:r>
        <w:rPr>
          <w:rFonts w:hint="eastAsia"/>
          <w:color w:val="auto"/>
          <w:szCs w:val="21"/>
        </w:rPr>
        <w:t>分析各</w:t>
      </w:r>
      <w:r>
        <w:rPr>
          <w:color w:val="auto"/>
          <w:szCs w:val="21"/>
        </w:rPr>
        <w:t>组</w:t>
      </w:r>
      <w:r>
        <w:rPr>
          <w:rFonts w:hint="eastAsia"/>
          <w:color w:val="auto"/>
          <w:szCs w:val="21"/>
        </w:rPr>
        <w:t>历</w:t>
      </w:r>
      <w:r>
        <w:rPr>
          <w:color w:val="auto"/>
          <w:szCs w:val="21"/>
        </w:rPr>
        <w:t>年</w:t>
      </w:r>
      <w:r>
        <w:rPr>
          <w:rFonts w:hint="eastAsia"/>
          <w:color w:val="auto"/>
          <w:szCs w:val="21"/>
        </w:rPr>
        <w:t>市政工程得</w:t>
      </w:r>
      <w:r>
        <w:rPr>
          <w:color w:val="auto"/>
          <w:szCs w:val="21"/>
        </w:rPr>
        <w:t>分情况</w:t>
      </w:r>
      <w:r>
        <w:rPr>
          <w:rFonts w:hint="eastAsia"/>
          <w:color w:val="auto"/>
          <w:szCs w:val="21"/>
        </w:rPr>
        <w:t>，</w:t>
      </w:r>
      <w:r>
        <w:rPr>
          <w:color w:val="auto"/>
          <w:szCs w:val="21"/>
        </w:rPr>
        <w:t>决定本年</w:t>
      </w:r>
      <w:r>
        <w:rPr>
          <w:rFonts w:hint="eastAsia"/>
          <w:color w:val="auto"/>
          <w:szCs w:val="21"/>
        </w:rPr>
        <w:t>政府</w:t>
      </w:r>
      <w:r>
        <w:rPr>
          <w:color w:val="auto"/>
          <w:szCs w:val="21"/>
        </w:rPr>
        <w:t>投资的市政工程</w:t>
      </w:r>
      <w:r>
        <w:rPr>
          <w:rFonts w:hint="eastAsia"/>
          <w:color w:val="auto"/>
          <w:szCs w:val="21"/>
        </w:rPr>
        <w:t>和</w:t>
      </w:r>
      <w:r>
        <w:rPr>
          <w:color w:val="auto"/>
          <w:szCs w:val="21"/>
        </w:rPr>
        <w:t>政府购买服</w:t>
      </w:r>
      <w:r>
        <w:rPr>
          <w:rFonts w:hint="eastAsia"/>
          <w:color w:val="auto"/>
          <w:szCs w:val="21"/>
        </w:rPr>
        <w:t>务</w:t>
      </w:r>
      <w:r>
        <w:rPr>
          <w:color w:val="auto"/>
          <w:szCs w:val="21"/>
        </w:rPr>
        <w:t>系数比例</w:t>
      </w:r>
      <w:r>
        <w:rPr>
          <w:rFonts w:hint="eastAsia"/>
          <w:color w:val="auto"/>
          <w:szCs w:val="21"/>
        </w:rPr>
        <w:t>，</w:t>
      </w:r>
      <w:r>
        <w:rPr>
          <w:color w:val="auto"/>
          <w:szCs w:val="21"/>
        </w:rPr>
        <w:t>获得民间市政工程投资，争取更高的市政需求覆盖率。</w:t>
      </w:r>
    </w:p>
    <w:p w14:paraId="657EF005">
      <w:pPr>
        <w:spacing w:line="360" w:lineRule="auto"/>
        <w:rPr>
          <w:rFonts w:ascii="宋体" w:hAnsi="宋体"/>
          <w:b/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配套型与服务业招商</w:t>
      </w:r>
      <w:r>
        <w:rPr>
          <w:rFonts w:hint="eastAsia"/>
          <w:color w:val="auto"/>
          <w:szCs w:val="21"/>
        </w:rPr>
        <w:t>】通</w:t>
      </w:r>
      <w:r>
        <w:rPr>
          <w:color w:val="auto"/>
          <w:szCs w:val="21"/>
        </w:rPr>
        <w:t>过</w:t>
      </w:r>
      <w:r>
        <w:rPr>
          <w:rFonts w:hint="eastAsia"/>
          <w:color w:val="auto"/>
          <w:szCs w:val="21"/>
        </w:rPr>
        <w:t>配套型制造业与</w:t>
      </w:r>
      <w:r>
        <w:rPr>
          <w:color w:val="auto"/>
          <w:szCs w:val="21"/>
        </w:rPr>
        <w:t>服务业招商</w:t>
      </w:r>
      <w:r>
        <w:rPr>
          <w:rFonts w:hint="eastAsia"/>
          <w:color w:val="auto"/>
          <w:szCs w:val="21"/>
        </w:rPr>
        <w:t>模拟工具，决定</w:t>
      </w:r>
      <w:r>
        <w:rPr>
          <w:color w:val="auto"/>
          <w:szCs w:val="21"/>
        </w:rPr>
        <w:t>本年</w:t>
      </w:r>
      <w:r>
        <w:rPr>
          <w:rFonts w:hint="eastAsia"/>
          <w:color w:val="auto"/>
          <w:szCs w:val="21"/>
        </w:rPr>
        <w:t>政府配套</w:t>
      </w:r>
      <w:r>
        <w:rPr>
          <w:color w:val="auto"/>
          <w:szCs w:val="21"/>
        </w:rPr>
        <w:t>型</w:t>
      </w:r>
      <w:r>
        <w:rPr>
          <w:rFonts w:hint="eastAsia"/>
          <w:color w:val="auto"/>
          <w:szCs w:val="21"/>
        </w:rPr>
        <w:t>工</w:t>
      </w:r>
      <w:r>
        <w:rPr>
          <w:color w:val="auto"/>
          <w:szCs w:val="21"/>
        </w:rPr>
        <w:t>业用地</w:t>
      </w:r>
      <w:r>
        <w:rPr>
          <w:rFonts w:hint="eastAsia"/>
          <w:color w:val="auto"/>
          <w:szCs w:val="21"/>
        </w:rPr>
        <w:t>价格参</w:t>
      </w:r>
      <w:r>
        <w:rPr>
          <w:color w:val="auto"/>
          <w:szCs w:val="21"/>
        </w:rPr>
        <w:t>与竞标，查看各组招商引资</w:t>
      </w:r>
      <w:r>
        <w:rPr>
          <w:rFonts w:hint="eastAsia"/>
          <w:color w:val="auto"/>
          <w:szCs w:val="21"/>
        </w:rPr>
        <w:t>金额。通</w:t>
      </w:r>
      <w:r>
        <w:rPr>
          <w:color w:val="auto"/>
          <w:szCs w:val="21"/>
        </w:rPr>
        <w:t>过</w:t>
      </w:r>
      <w:r>
        <w:rPr>
          <w:rFonts w:hint="eastAsia"/>
          <w:color w:val="auto"/>
          <w:szCs w:val="21"/>
        </w:rPr>
        <w:t>查看各</w:t>
      </w:r>
      <w:r>
        <w:rPr>
          <w:color w:val="auto"/>
          <w:szCs w:val="21"/>
        </w:rPr>
        <w:t>组</w:t>
      </w:r>
      <w:r>
        <w:rPr>
          <w:rFonts w:hint="eastAsia"/>
          <w:color w:val="auto"/>
          <w:szCs w:val="21"/>
        </w:rPr>
        <w:t>配套型制造业和</w:t>
      </w:r>
      <w:r>
        <w:rPr>
          <w:color w:val="auto"/>
          <w:szCs w:val="21"/>
        </w:rPr>
        <w:t>服务业</w:t>
      </w:r>
      <w:r>
        <w:rPr>
          <w:rFonts w:hint="eastAsia"/>
          <w:color w:val="auto"/>
          <w:szCs w:val="21"/>
        </w:rPr>
        <w:t>招商项目历史数据，设定本组资本</w:t>
      </w:r>
      <w:r>
        <w:rPr>
          <w:color w:val="auto"/>
          <w:szCs w:val="21"/>
        </w:rPr>
        <w:t>密集型</w:t>
      </w:r>
      <w:r>
        <w:rPr>
          <w:rFonts w:hint="eastAsia"/>
          <w:color w:val="auto"/>
          <w:szCs w:val="21"/>
        </w:rPr>
        <w:t>10亿与4亿</w:t>
      </w:r>
      <w:r>
        <w:rPr>
          <w:color w:val="auto"/>
          <w:szCs w:val="21"/>
        </w:rPr>
        <w:t>的</w:t>
      </w:r>
      <w:r>
        <w:rPr>
          <w:rFonts w:hint="eastAsia"/>
          <w:color w:val="auto"/>
          <w:szCs w:val="21"/>
        </w:rPr>
        <w:t>招商项目、</w:t>
      </w:r>
      <w:r>
        <w:rPr>
          <w:color w:val="auto"/>
          <w:szCs w:val="21"/>
        </w:rPr>
        <w:t>劳动密集型</w:t>
      </w:r>
      <w:r>
        <w:rPr>
          <w:rFonts w:hint="eastAsia"/>
          <w:color w:val="auto"/>
          <w:szCs w:val="21"/>
        </w:rPr>
        <w:t>4亿</w:t>
      </w:r>
      <w:r>
        <w:rPr>
          <w:color w:val="auto"/>
          <w:szCs w:val="21"/>
        </w:rPr>
        <w:t>与</w:t>
      </w:r>
      <w:r>
        <w:rPr>
          <w:rFonts w:hint="eastAsia"/>
          <w:color w:val="auto"/>
          <w:szCs w:val="21"/>
        </w:rPr>
        <w:t>生产</w:t>
      </w:r>
      <w:r>
        <w:rPr>
          <w:color w:val="auto"/>
          <w:szCs w:val="21"/>
        </w:rPr>
        <w:t>服务业</w:t>
      </w:r>
      <w:r>
        <w:rPr>
          <w:rFonts w:hint="eastAsia"/>
          <w:color w:val="auto"/>
          <w:szCs w:val="21"/>
        </w:rPr>
        <w:t>1亿</w:t>
      </w:r>
      <w:r>
        <w:rPr>
          <w:color w:val="auto"/>
          <w:szCs w:val="21"/>
        </w:rPr>
        <w:t>的招商项目</w:t>
      </w:r>
      <w:r>
        <w:rPr>
          <w:rFonts w:hint="eastAsia"/>
          <w:color w:val="auto"/>
          <w:szCs w:val="21"/>
        </w:rPr>
        <w:t>的</w:t>
      </w:r>
      <w:r>
        <w:rPr>
          <w:color w:val="auto"/>
          <w:szCs w:val="21"/>
        </w:rPr>
        <w:t>优先顺序</w:t>
      </w:r>
      <w:r>
        <w:rPr>
          <w:rFonts w:hint="eastAsia"/>
          <w:color w:val="auto"/>
          <w:szCs w:val="21"/>
        </w:rPr>
        <w:t>，</w:t>
      </w:r>
      <w:r>
        <w:rPr>
          <w:color w:val="auto"/>
          <w:szCs w:val="21"/>
        </w:rPr>
        <w:t>争取获得</w:t>
      </w:r>
      <w:r>
        <w:rPr>
          <w:rFonts w:hint="eastAsia"/>
          <w:color w:val="auto"/>
          <w:szCs w:val="21"/>
        </w:rPr>
        <w:t>更</w:t>
      </w:r>
      <w:r>
        <w:rPr>
          <w:color w:val="auto"/>
          <w:szCs w:val="21"/>
        </w:rPr>
        <w:t>多招商项目。</w:t>
      </w:r>
    </w:p>
    <w:p w14:paraId="11E7A7F6">
      <w:pPr>
        <w:spacing w:line="360" w:lineRule="auto"/>
        <w:rPr>
          <w:rFonts w:ascii="宋体" w:hAnsi="宋体"/>
          <w:b/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公共事业投资</w:t>
      </w:r>
      <w:r>
        <w:rPr>
          <w:rFonts w:hint="eastAsia"/>
          <w:color w:val="auto"/>
          <w:szCs w:val="21"/>
        </w:rPr>
        <w:t>】通</w:t>
      </w:r>
      <w:r>
        <w:rPr>
          <w:color w:val="auto"/>
          <w:szCs w:val="21"/>
        </w:rPr>
        <w:t>过</w:t>
      </w:r>
      <w:r>
        <w:rPr>
          <w:rFonts w:hint="eastAsia"/>
          <w:color w:val="auto"/>
          <w:szCs w:val="21"/>
        </w:rPr>
        <w:t>公共事业投资速算工具</w:t>
      </w:r>
      <w:r>
        <w:rPr>
          <w:color w:val="auto"/>
          <w:szCs w:val="21"/>
        </w:rPr>
        <w:t>，计算</w:t>
      </w:r>
      <w:r>
        <w:rPr>
          <w:rFonts w:hint="eastAsia"/>
          <w:color w:val="auto"/>
          <w:szCs w:val="21"/>
        </w:rPr>
        <w:t>本</w:t>
      </w:r>
      <w:r>
        <w:rPr>
          <w:color w:val="auto"/>
          <w:szCs w:val="21"/>
        </w:rPr>
        <w:t>年和历</w:t>
      </w:r>
      <w:r>
        <w:rPr>
          <w:rFonts w:hint="eastAsia"/>
          <w:color w:val="auto"/>
          <w:szCs w:val="21"/>
        </w:rPr>
        <w:t>年</w:t>
      </w:r>
      <w:r>
        <w:rPr>
          <w:color w:val="auto"/>
          <w:szCs w:val="21"/>
        </w:rPr>
        <w:t>累计新增人口需要的医院、基教学校、文体场馆数量</w:t>
      </w:r>
      <w:r>
        <w:rPr>
          <w:rFonts w:hint="eastAsia"/>
          <w:color w:val="auto"/>
          <w:szCs w:val="21"/>
        </w:rPr>
        <w:t>。</w:t>
      </w:r>
      <w:r>
        <w:rPr>
          <w:color w:val="auto"/>
          <w:szCs w:val="21"/>
        </w:rPr>
        <w:t>分析</w:t>
      </w:r>
      <w:r>
        <w:rPr>
          <w:rFonts w:hint="eastAsia"/>
          <w:color w:val="auto"/>
          <w:szCs w:val="21"/>
        </w:rPr>
        <w:t>历年各</w:t>
      </w:r>
      <w:r>
        <w:rPr>
          <w:color w:val="auto"/>
          <w:szCs w:val="21"/>
        </w:rPr>
        <w:t>组公共事业投资</w:t>
      </w:r>
      <w:r>
        <w:rPr>
          <w:rFonts w:hint="eastAsia"/>
          <w:color w:val="auto"/>
          <w:szCs w:val="21"/>
        </w:rPr>
        <w:t>的类型</w:t>
      </w:r>
      <w:r>
        <w:rPr>
          <w:color w:val="auto"/>
          <w:szCs w:val="21"/>
        </w:rPr>
        <w:t>，决定本组今年的公共事业投</w:t>
      </w:r>
      <w:r>
        <w:rPr>
          <w:rFonts w:hint="eastAsia"/>
          <w:color w:val="auto"/>
          <w:szCs w:val="21"/>
        </w:rPr>
        <w:t>资数量</w:t>
      </w:r>
      <w:r>
        <w:rPr>
          <w:color w:val="auto"/>
          <w:szCs w:val="21"/>
        </w:rPr>
        <w:t>。</w:t>
      </w:r>
    </w:p>
    <w:p w14:paraId="58B659EC">
      <w:pPr>
        <w:spacing w:line="360" w:lineRule="auto"/>
        <w:rPr>
          <w:rFonts w:ascii="宋体" w:hAnsi="宋体"/>
          <w:b/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人才引进与企业扶持</w:t>
      </w:r>
      <w:r>
        <w:rPr>
          <w:rFonts w:hint="eastAsia"/>
          <w:color w:val="auto"/>
          <w:szCs w:val="21"/>
        </w:rPr>
        <w:t>】通</w:t>
      </w:r>
      <w:r>
        <w:rPr>
          <w:color w:val="auto"/>
          <w:szCs w:val="21"/>
        </w:rPr>
        <w:t>过</w:t>
      </w:r>
      <w:r>
        <w:rPr>
          <w:rFonts w:hint="eastAsia"/>
          <w:color w:val="auto"/>
          <w:szCs w:val="21"/>
        </w:rPr>
        <w:t>高端人才竞标模拟工具，分析竞争</w:t>
      </w:r>
      <w:r>
        <w:rPr>
          <w:color w:val="auto"/>
          <w:szCs w:val="21"/>
        </w:rPr>
        <w:t>对手，</w:t>
      </w:r>
      <w:r>
        <w:rPr>
          <w:rFonts w:hint="eastAsia"/>
          <w:color w:val="auto"/>
          <w:szCs w:val="21"/>
        </w:rPr>
        <w:t>决定</w:t>
      </w:r>
      <w:r>
        <w:rPr>
          <w:color w:val="auto"/>
          <w:szCs w:val="21"/>
        </w:rPr>
        <w:t>本年一次性安家补贴和三年科研补贴金额，</w:t>
      </w:r>
      <w:r>
        <w:rPr>
          <w:rFonts w:hint="eastAsia"/>
          <w:color w:val="auto"/>
          <w:szCs w:val="21"/>
        </w:rPr>
        <w:t>查</w:t>
      </w:r>
      <w:r>
        <w:rPr>
          <w:color w:val="auto"/>
          <w:szCs w:val="21"/>
        </w:rPr>
        <w:t>看</w:t>
      </w:r>
      <w:r>
        <w:rPr>
          <w:rFonts w:hint="eastAsia"/>
          <w:color w:val="auto"/>
          <w:szCs w:val="21"/>
        </w:rPr>
        <w:t>高端人才竞标排</w:t>
      </w:r>
      <w:r>
        <w:rPr>
          <w:color w:val="auto"/>
          <w:szCs w:val="21"/>
        </w:rPr>
        <w:t>名和</w:t>
      </w:r>
      <w:r>
        <w:rPr>
          <w:rFonts w:hint="eastAsia"/>
          <w:color w:val="auto"/>
          <w:szCs w:val="21"/>
        </w:rPr>
        <w:t>明细结果。</w:t>
      </w:r>
      <w:r>
        <w:rPr>
          <w:rFonts w:hint="eastAsia" w:ascii="宋体" w:hAnsi="宋体"/>
          <w:color w:val="auto"/>
          <w:szCs w:val="21"/>
        </w:rPr>
        <w:t>支持高端人才挖角。</w:t>
      </w:r>
      <w:r>
        <w:rPr>
          <w:color w:val="auto"/>
          <w:szCs w:val="21"/>
        </w:rPr>
        <w:t>通</w:t>
      </w:r>
      <w:r>
        <w:rPr>
          <w:rFonts w:hint="eastAsia"/>
          <w:color w:val="auto"/>
          <w:szCs w:val="21"/>
        </w:rPr>
        <w:t>过企业活力模拟工具</w:t>
      </w:r>
      <w:r>
        <w:rPr>
          <w:color w:val="auto"/>
          <w:szCs w:val="21"/>
        </w:rPr>
        <w:t>，</w:t>
      </w:r>
      <w:r>
        <w:rPr>
          <w:rFonts w:hint="eastAsia"/>
          <w:color w:val="auto"/>
          <w:szCs w:val="21"/>
        </w:rPr>
        <w:t>决定</w:t>
      </w:r>
      <w:r>
        <w:rPr>
          <w:color w:val="auto"/>
          <w:szCs w:val="21"/>
        </w:rPr>
        <w:t>本年企业补贴金额</w:t>
      </w:r>
      <w:r>
        <w:rPr>
          <w:rFonts w:hint="eastAsia"/>
          <w:color w:val="auto"/>
          <w:szCs w:val="21"/>
        </w:rPr>
        <w:t>，</w:t>
      </w:r>
      <w:r>
        <w:rPr>
          <w:color w:val="auto"/>
          <w:szCs w:val="21"/>
        </w:rPr>
        <w:t>得到本年企业活力指数和</w:t>
      </w:r>
      <w:r>
        <w:rPr>
          <w:rFonts w:hint="eastAsia"/>
          <w:color w:val="auto"/>
          <w:szCs w:val="21"/>
        </w:rPr>
        <w:t>所</w:t>
      </w:r>
      <w:r>
        <w:rPr>
          <w:color w:val="auto"/>
          <w:szCs w:val="21"/>
        </w:rPr>
        <w:t>得税指数。</w:t>
      </w:r>
    </w:p>
    <w:p w14:paraId="778F1C59"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二次征地</w:t>
      </w:r>
      <w:r>
        <w:rPr>
          <w:rFonts w:hint="eastAsia"/>
          <w:color w:val="auto"/>
          <w:szCs w:val="21"/>
        </w:rPr>
        <w:t>】如</w:t>
      </w:r>
      <w:r>
        <w:rPr>
          <w:color w:val="auto"/>
          <w:szCs w:val="21"/>
        </w:rPr>
        <w:t>本年还有征地指标，可以决定</w:t>
      </w:r>
      <w:r>
        <w:rPr>
          <w:rFonts w:hint="eastAsia"/>
          <w:color w:val="auto"/>
          <w:szCs w:val="21"/>
        </w:rPr>
        <w:t>二次征地数量</w:t>
      </w:r>
      <w:r>
        <w:rPr>
          <w:color w:val="auto"/>
          <w:szCs w:val="21"/>
        </w:rPr>
        <w:t>与补偿价格</w:t>
      </w:r>
      <w:r>
        <w:rPr>
          <w:rFonts w:hint="eastAsia"/>
          <w:color w:val="auto"/>
          <w:szCs w:val="21"/>
        </w:rPr>
        <w:t>。</w:t>
      </w:r>
    </w:p>
    <w:p w14:paraId="3C28F3B3"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住宅用地拍卖</w:t>
      </w:r>
      <w:r>
        <w:rPr>
          <w:rFonts w:hint="eastAsia"/>
          <w:color w:val="auto"/>
          <w:szCs w:val="21"/>
        </w:rPr>
        <w:t>】通</w:t>
      </w:r>
      <w:r>
        <w:rPr>
          <w:color w:val="auto"/>
          <w:szCs w:val="21"/>
        </w:rPr>
        <w:t>过</w:t>
      </w:r>
      <w:r>
        <w:rPr>
          <w:rFonts w:hint="eastAsia"/>
          <w:color w:val="auto"/>
          <w:szCs w:val="21"/>
        </w:rPr>
        <w:t>查看住宅用地历史数据，</w:t>
      </w:r>
      <w:r>
        <w:rPr>
          <w:color w:val="auto"/>
          <w:szCs w:val="21"/>
        </w:rPr>
        <w:t>分析</w:t>
      </w:r>
      <w:r>
        <w:rPr>
          <w:rFonts w:hint="eastAsia"/>
          <w:color w:val="auto"/>
          <w:szCs w:val="21"/>
        </w:rPr>
        <w:t>其他</w:t>
      </w:r>
      <w:r>
        <w:rPr>
          <w:color w:val="auto"/>
          <w:szCs w:val="21"/>
        </w:rPr>
        <w:t>组住宅收入与地价</w:t>
      </w:r>
      <w:r>
        <w:rPr>
          <w:rFonts w:hint="eastAsia"/>
          <w:color w:val="auto"/>
          <w:szCs w:val="21"/>
        </w:rPr>
        <w:t>；</w:t>
      </w:r>
      <w:r>
        <w:rPr>
          <w:color w:val="auto"/>
          <w:szCs w:val="21"/>
        </w:rPr>
        <w:t>根据本年新增就业，决定本年住宅实际供地规模，获得住宅用地拍卖收入。</w:t>
      </w:r>
    </w:p>
    <w:p w14:paraId="55374E26"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年底核算</w:t>
      </w:r>
      <w:r>
        <w:rPr>
          <w:rFonts w:hint="eastAsia"/>
          <w:color w:val="auto"/>
          <w:szCs w:val="21"/>
        </w:rPr>
        <w:t>】在收支平衡决算表</w:t>
      </w:r>
      <w:r>
        <w:rPr>
          <w:color w:val="auto"/>
          <w:szCs w:val="21"/>
        </w:rPr>
        <w:t>中，可以</w:t>
      </w:r>
      <w:r>
        <w:rPr>
          <w:rFonts w:hint="eastAsia"/>
          <w:color w:val="auto"/>
          <w:szCs w:val="21"/>
        </w:rPr>
        <w:t>看</w:t>
      </w:r>
      <w:r>
        <w:rPr>
          <w:color w:val="auto"/>
          <w:szCs w:val="21"/>
        </w:rPr>
        <w:t>到</w:t>
      </w:r>
      <w:r>
        <w:rPr>
          <w:rFonts w:hint="eastAsia"/>
          <w:color w:val="auto"/>
          <w:szCs w:val="21"/>
        </w:rPr>
        <w:t>本</w:t>
      </w:r>
      <w:r>
        <w:rPr>
          <w:color w:val="auto"/>
          <w:szCs w:val="21"/>
        </w:rPr>
        <w:t>年各项收入明细、各项支出明细，</w:t>
      </w:r>
      <w:r>
        <w:rPr>
          <w:rFonts w:hint="eastAsia"/>
          <w:color w:val="auto"/>
          <w:szCs w:val="21"/>
        </w:rPr>
        <w:t>政府</w:t>
      </w:r>
      <w:r>
        <w:rPr>
          <w:color w:val="auto"/>
          <w:szCs w:val="21"/>
        </w:rPr>
        <w:t>累计资产</w:t>
      </w:r>
      <w:r>
        <w:rPr>
          <w:rFonts w:hint="eastAsia"/>
          <w:color w:val="auto"/>
          <w:szCs w:val="21"/>
        </w:rPr>
        <w:t>。</w:t>
      </w:r>
      <w:r>
        <w:rPr>
          <w:color w:val="auto"/>
          <w:szCs w:val="21"/>
        </w:rPr>
        <w:t>在</w:t>
      </w:r>
      <w:r>
        <w:rPr>
          <w:rFonts w:hint="eastAsia"/>
          <w:color w:val="auto"/>
          <w:szCs w:val="21"/>
        </w:rPr>
        <w:t>居民幸福度中</w:t>
      </w:r>
      <w:r>
        <w:rPr>
          <w:color w:val="auto"/>
          <w:szCs w:val="21"/>
        </w:rPr>
        <w:t>可以看到</w:t>
      </w:r>
      <w:r>
        <w:rPr>
          <w:rFonts w:hint="eastAsia"/>
          <w:color w:val="auto"/>
          <w:szCs w:val="21"/>
        </w:rPr>
        <w:t>医院</w:t>
      </w:r>
      <w:r>
        <w:rPr>
          <w:color w:val="auto"/>
          <w:szCs w:val="21"/>
        </w:rPr>
        <w:t>、文体场馆、基教学校带来的幸福值、市政工程</w:t>
      </w:r>
      <w:r>
        <w:rPr>
          <w:rFonts w:hint="eastAsia"/>
          <w:color w:val="auto"/>
          <w:szCs w:val="21"/>
        </w:rPr>
        <w:t>带</w:t>
      </w:r>
      <w:r>
        <w:rPr>
          <w:color w:val="auto"/>
          <w:szCs w:val="21"/>
        </w:rPr>
        <w:t>来的幸福值、</w:t>
      </w:r>
      <w:r>
        <w:rPr>
          <w:rFonts w:hint="eastAsia"/>
          <w:color w:val="auto"/>
          <w:szCs w:val="21"/>
        </w:rPr>
        <w:t>征</w:t>
      </w:r>
      <w:r>
        <w:rPr>
          <w:color w:val="auto"/>
          <w:szCs w:val="21"/>
        </w:rPr>
        <w:t>地补偿和住宅价格对幸福</w:t>
      </w:r>
      <w:r>
        <w:rPr>
          <w:rFonts w:hint="eastAsia"/>
          <w:color w:val="auto"/>
          <w:szCs w:val="21"/>
        </w:rPr>
        <w:t>值</w:t>
      </w:r>
      <w:r>
        <w:rPr>
          <w:color w:val="auto"/>
          <w:szCs w:val="21"/>
        </w:rPr>
        <w:t>的影响。</w:t>
      </w:r>
      <w:r>
        <w:rPr>
          <w:rFonts w:hint="eastAsia"/>
          <w:color w:val="auto"/>
          <w:szCs w:val="21"/>
        </w:rPr>
        <w:t>在</w:t>
      </w:r>
      <w:r>
        <w:rPr>
          <w:color w:val="auto"/>
          <w:szCs w:val="21"/>
        </w:rPr>
        <w:t>绩效</w:t>
      </w:r>
      <w:r>
        <w:rPr>
          <w:rFonts w:hint="eastAsia"/>
          <w:color w:val="auto"/>
          <w:szCs w:val="21"/>
        </w:rPr>
        <w:t>查询</w:t>
      </w:r>
      <w:r>
        <w:rPr>
          <w:color w:val="auto"/>
          <w:szCs w:val="21"/>
        </w:rPr>
        <w:t>中，可以看到</w:t>
      </w:r>
      <w:r>
        <w:rPr>
          <w:rFonts w:hint="eastAsia"/>
          <w:color w:val="auto"/>
          <w:szCs w:val="21"/>
        </w:rPr>
        <w:t>各</w:t>
      </w:r>
      <w:r>
        <w:rPr>
          <w:color w:val="auto"/>
          <w:szCs w:val="21"/>
        </w:rPr>
        <w:t>组</w:t>
      </w:r>
      <w:r>
        <w:rPr>
          <w:rFonts w:hint="eastAsia"/>
          <w:color w:val="auto"/>
          <w:szCs w:val="21"/>
        </w:rPr>
        <w:t>本</w:t>
      </w:r>
      <w:r>
        <w:rPr>
          <w:color w:val="auto"/>
          <w:szCs w:val="21"/>
        </w:rPr>
        <w:t>年主</w:t>
      </w:r>
      <w:r>
        <w:rPr>
          <w:rFonts w:hint="eastAsia"/>
          <w:color w:val="auto"/>
          <w:szCs w:val="21"/>
        </w:rPr>
        <w:t>要</w:t>
      </w:r>
      <w:r>
        <w:rPr>
          <w:color w:val="auto"/>
          <w:szCs w:val="21"/>
        </w:rPr>
        <w:t>决策数据。</w:t>
      </w:r>
    </w:p>
    <w:p w14:paraId="3E83FAA3">
      <w:pPr>
        <w:spacing w:line="360" w:lineRule="auto"/>
        <w:rPr>
          <w:rFonts w:ascii="宋体" w:hAnsi="宋体"/>
          <w:b/>
          <w:color w:val="auto"/>
          <w:szCs w:val="21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决策历史</w:t>
      </w:r>
      <w:r>
        <w:rPr>
          <w:rFonts w:hint="eastAsia"/>
          <w:color w:val="auto"/>
          <w:szCs w:val="21"/>
        </w:rPr>
        <w:t>】可</w:t>
      </w:r>
      <w:r>
        <w:rPr>
          <w:color w:val="auto"/>
          <w:szCs w:val="21"/>
        </w:rPr>
        <w:t>以看到</w:t>
      </w:r>
      <w:r>
        <w:rPr>
          <w:rFonts w:hint="eastAsia"/>
          <w:color w:val="auto"/>
          <w:szCs w:val="21"/>
        </w:rPr>
        <w:t>本</w:t>
      </w:r>
      <w:r>
        <w:rPr>
          <w:color w:val="auto"/>
          <w:szCs w:val="21"/>
        </w:rPr>
        <w:t>组每一年做过的决策记录。</w:t>
      </w:r>
    </w:p>
    <w:p w14:paraId="663DBA1A">
      <w:pPr>
        <w:spacing w:line="360" w:lineRule="auto"/>
        <w:rPr>
          <w:rFonts w:cs="Arial"/>
          <w:b/>
          <w:bCs/>
          <w:color w:val="auto"/>
          <w:sz w:val="28"/>
          <w:szCs w:val="32"/>
        </w:rPr>
      </w:pPr>
      <w:r>
        <w:rPr>
          <w:rFonts w:hint="eastAsia"/>
          <w:color w:val="auto"/>
          <w:szCs w:val="21"/>
        </w:rPr>
        <w:t>【</w:t>
      </w:r>
      <w:r>
        <w:rPr>
          <w:rFonts w:hint="eastAsia" w:ascii="宋体" w:hAnsi="宋体"/>
          <w:b/>
          <w:color w:val="auto"/>
          <w:szCs w:val="21"/>
        </w:rPr>
        <w:t>盘点</w:t>
      </w:r>
      <w:r>
        <w:rPr>
          <w:rFonts w:hint="eastAsia"/>
          <w:color w:val="auto"/>
          <w:szCs w:val="21"/>
        </w:rPr>
        <w:t>】实</w:t>
      </w:r>
      <w:r>
        <w:rPr>
          <w:color w:val="auto"/>
          <w:szCs w:val="21"/>
        </w:rPr>
        <w:t>时</w:t>
      </w:r>
      <w:r>
        <w:rPr>
          <w:rFonts w:hint="eastAsia"/>
          <w:color w:val="auto"/>
          <w:szCs w:val="21"/>
        </w:rPr>
        <w:t>显</w:t>
      </w:r>
      <w:r>
        <w:rPr>
          <w:color w:val="auto"/>
          <w:szCs w:val="21"/>
        </w:rPr>
        <w:t>示现金、</w:t>
      </w:r>
      <w:r>
        <w:rPr>
          <w:rFonts w:hint="eastAsia"/>
          <w:color w:val="auto"/>
          <w:szCs w:val="21"/>
        </w:rPr>
        <w:t>住宅</w:t>
      </w:r>
      <w:r>
        <w:rPr>
          <w:color w:val="auto"/>
          <w:szCs w:val="21"/>
        </w:rPr>
        <w:t>用地、</w:t>
      </w:r>
      <w:r>
        <w:rPr>
          <w:rFonts w:hint="eastAsia"/>
          <w:color w:val="auto"/>
          <w:szCs w:val="21"/>
        </w:rPr>
        <w:t>公共</w:t>
      </w:r>
      <w:r>
        <w:rPr>
          <w:color w:val="auto"/>
          <w:szCs w:val="21"/>
        </w:rPr>
        <w:t>事</w:t>
      </w:r>
      <w:r>
        <w:rPr>
          <w:rFonts w:hint="eastAsia"/>
          <w:color w:val="auto"/>
          <w:szCs w:val="21"/>
        </w:rPr>
        <w:t>业</w:t>
      </w:r>
      <w:r>
        <w:rPr>
          <w:color w:val="auto"/>
          <w:szCs w:val="21"/>
        </w:rPr>
        <w:t>用地、工业与服务业用地、各类医院、各类</w:t>
      </w:r>
      <w:r>
        <w:rPr>
          <w:rFonts w:hint="eastAsia"/>
          <w:color w:val="auto"/>
          <w:szCs w:val="21"/>
        </w:rPr>
        <w:t>基础</w:t>
      </w:r>
      <w:r>
        <w:rPr>
          <w:color w:val="auto"/>
          <w:szCs w:val="21"/>
        </w:rPr>
        <w:t>教育学校、各类文体场馆数量。</w:t>
      </w:r>
      <w:r>
        <w:rPr>
          <w:color w:val="auto"/>
        </w:rPr>
        <w:br w:type="page"/>
      </w:r>
    </w:p>
    <w:p w14:paraId="7C343F3E">
      <w:pPr>
        <w:pStyle w:val="5"/>
        <w:rPr>
          <w:rFonts w:ascii="Calibri" w:hAnsi="Calibri"/>
        </w:rPr>
      </w:pPr>
      <w:bookmarkStart w:id="58" w:name="_Toc111197189"/>
      <w:r>
        <w:rPr>
          <w:rFonts w:ascii="Calibri" w:hAnsi="Calibri"/>
        </w:rPr>
        <w:t>4</w:t>
      </w:r>
      <w:r>
        <w:rPr>
          <w:rFonts w:hint="eastAsia"/>
        </w:rPr>
        <w:t>、售后服务</w:t>
      </w:r>
      <w:bookmarkEnd w:id="43"/>
      <w:bookmarkEnd w:id="58"/>
    </w:p>
    <w:tbl>
      <w:tblPr>
        <w:tblStyle w:val="22"/>
        <w:tblW w:w="856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980"/>
        <w:gridCol w:w="5760"/>
      </w:tblGrid>
      <w:tr w14:paraId="458F38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D6D02">
            <w:pPr>
              <w:spacing w:line="360" w:lineRule="auto"/>
              <w:jc w:val="center"/>
              <w:rPr>
                <w:rFonts w:cs="Calibri"/>
                <w:b/>
                <w:bCs/>
                <w:color w:val="0000FF"/>
                <w:szCs w:val="21"/>
              </w:rPr>
            </w:pPr>
            <w:r>
              <w:rPr>
                <w:rFonts w:hint="eastAsia" w:ascii="宋体" w:hAnsi="宋体" w:cs="Calibri"/>
                <w:b/>
                <w:bCs/>
                <w:color w:val="0000FF"/>
                <w:szCs w:val="21"/>
              </w:rPr>
              <w:t>序号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C4D8D11">
            <w:pPr>
              <w:spacing w:line="360" w:lineRule="auto"/>
              <w:ind w:right="-174" w:rightChars="-83"/>
              <w:jc w:val="center"/>
              <w:rPr>
                <w:rFonts w:cs="Calibri"/>
                <w:b/>
                <w:bCs/>
                <w:color w:val="0000FF"/>
                <w:szCs w:val="21"/>
              </w:rPr>
            </w:pPr>
            <w:r>
              <w:rPr>
                <w:rFonts w:hint="eastAsia" w:ascii="宋体" w:hAnsi="宋体" w:cs="Calibri"/>
                <w:b/>
                <w:bCs/>
                <w:color w:val="0000FF"/>
                <w:szCs w:val="21"/>
              </w:rPr>
              <w:t>服务类别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8822238">
            <w:pPr>
              <w:spacing w:line="360" w:lineRule="auto"/>
              <w:jc w:val="center"/>
              <w:rPr>
                <w:rFonts w:cs="Calibri"/>
                <w:b/>
                <w:bCs/>
                <w:color w:val="0000FF"/>
                <w:szCs w:val="21"/>
              </w:rPr>
            </w:pPr>
            <w:r>
              <w:rPr>
                <w:rFonts w:hint="eastAsia" w:ascii="宋体" w:hAnsi="宋体" w:cs="Calibri"/>
                <w:b/>
                <w:bCs/>
                <w:color w:val="0000FF"/>
                <w:szCs w:val="21"/>
              </w:rPr>
              <w:t>服务内容</w:t>
            </w:r>
          </w:p>
        </w:tc>
      </w:tr>
      <w:tr w14:paraId="56A6D7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28FCE">
            <w:pPr>
              <w:spacing w:line="360" w:lineRule="auto"/>
              <w:rPr>
                <w:rFonts w:cs="Calibri"/>
                <w:b/>
                <w:bCs/>
                <w:szCs w:val="21"/>
              </w:rPr>
            </w:pPr>
            <w:r>
              <w:rPr>
                <w:rFonts w:hint="eastAsia" w:ascii="宋体" w:hAnsi="宋体" w:cs="Calibri"/>
                <w:b/>
                <w:bCs/>
                <w:szCs w:val="21"/>
              </w:rPr>
              <w:t>标准服务</w:t>
            </w:r>
          </w:p>
        </w:tc>
      </w:tr>
      <w:tr w14:paraId="698460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E8055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254B1B9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培训服务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339EE03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向校方提供产品交付培训服务。</w:t>
            </w:r>
          </w:p>
        </w:tc>
      </w:tr>
      <w:tr w14:paraId="18FE62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2F241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038ECE6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软件安装调试服务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3695C6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负责对软件的安装调试，保证校方能正常的使用软件和教学。</w:t>
            </w:r>
          </w:p>
        </w:tc>
      </w:tr>
      <w:tr w14:paraId="578CB8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D0FCC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2A6EE2F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产品升级服务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7BCD0CA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为校方及时提供产品升级服务，为校方安装调试软件升级版本和功能工具包，对校方师资人员进行产品升级指导培训。</w:t>
            </w:r>
          </w:p>
        </w:tc>
      </w:tr>
      <w:tr w14:paraId="782AFD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378DC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C7A37C6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日常技术支持服务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7152224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在校方日常教学使用软件过程中，为其提供及时的</w:t>
            </w:r>
            <w:r>
              <w:rPr>
                <w:rFonts w:cs="Calibri"/>
                <w:szCs w:val="21"/>
              </w:rPr>
              <w:t xml:space="preserve">INTERNET </w:t>
            </w:r>
            <w:r>
              <w:rPr>
                <w:rFonts w:hint="eastAsia" w:ascii="宋体" w:hAnsi="宋体" w:cs="Calibri"/>
                <w:szCs w:val="21"/>
              </w:rPr>
              <w:t>网络服务、资讯服务、热线支持等服务。</w:t>
            </w:r>
          </w:p>
        </w:tc>
      </w:tr>
      <w:tr w14:paraId="7CF031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FD085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DAFF7F1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教学指导服务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F5F0C5A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向校方提供与教学相关的教学资料一套。</w:t>
            </w:r>
          </w:p>
        </w:tc>
      </w:tr>
      <w:tr w14:paraId="5429FB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50256">
            <w:pPr>
              <w:spacing w:line="360" w:lineRule="auto"/>
              <w:rPr>
                <w:rFonts w:cs="Calibri"/>
                <w:b/>
                <w:bCs/>
                <w:szCs w:val="21"/>
              </w:rPr>
            </w:pPr>
            <w:r>
              <w:rPr>
                <w:rFonts w:hint="eastAsia" w:ascii="宋体" w:hAnsi="宋体" w:cs="Calibri"/>
                <w:b/>
                <w:bCs/>
                <w:szCs w:val="21"/>
              </w:rPr>
              <w:t>增值服务</w:t>
            </w:r>
          </w:p>
        </w:tc>
      </w:tr>
      <w:tr w14:paraId="1690B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C6D73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AB392F3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教材、课件合作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DB46CD9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学校专任老师与公司产品专家、资深顾问等利用各自优势，合作编写适用的专用教材，满足教学需要。</w:t>
            </w:r>
          </w:p>
        </w:tc>
      </w:tr>
      <w:tr w14:paraId="327118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59345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467B748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合作推广项目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D531C62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校方利用丰富的专家资源，公司提供充足的客户项目，双方合作进行项目实施和咨询。</w:t>
            </w:r>
          </w:p>
        </w:tc>
      </w:tr>
      <w:tr w14:paraId="198762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72340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AC196D8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合作开发升级项目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3729ED7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高校理论研究成果应用于本产品研发及实施服务，不断丰富和升级本产品，收益共享。</w:t>
            </w:r>
          </w:p>
        </w:tc>
      </w:tr>
      <w:tr w14:paraId="4948A6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3ED5C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629C40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讲师外聘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7A23B99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院校优秀讲师以及本产品实验教学应用领域有精深造诣者，可以获得本公司外聘讲师资格证书，以专家学者身份于全国高校作课程巡讲，并获得资金支持。</w:t>
            </w:r>
          </w:p>
        </w:tc>
      </w:tr>
      <w:tr w14:paraId="0BF4CB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B522D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181E00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市场活动合作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D5B926D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积极参加一些有影响的论坛、年会性质的活动，共赢市场效益。</w:t>
            </w:r>
          </w:p>
        </w:tc>
      </w:tr>
    </w:tbl>
    <w:p w14:paraId="372A9DC4">
      <w:pPr>
        <w:keepNext/>
        <w:keepLines/>
        <w:spacing w:line="412" w:lineRule="auto"/>
        <w:outlineLvl w:val="2"/>
        <w:rPr>
          <w:rFonts w:ascii="宋体" w:cs="Calibri"/>
          <w:b/>
          <w:bCs/>
          <w:sz w:val="24"/>
          <w:szCs w:val="24"/>
        </w:rPr>
      </w:pPr>
      <w:r>
        <w:rPr>
          <w:rFonts w:ascii="宋体" w:cs="Calibri"/>
          <w:b/>
          <w:bCs/>
          <w:sz w:val="24"/>
          <w:szCs w:val="24"/>
        </w:rPr>
        <w:t xml:space="preserve"> </w:t>
      </w:r>
    </w:p>
    <w:p w14:paraId="5D69EEFD"/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F9251">
    <w:pPr>
      <w:pStyle w:val="1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902BE4"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902BE4"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52DFA">
    <w:pPr>
      <w:pStyle w:val="16"/>
      <w:tabs>
        <w:tab w:val="center" w:pos="4153"/>
        <w:tab w:val="right" w:pos="8306"/>
      </w:tabs>
      <w:rPr>
        <w:rFonts w:hint="eastAsia" w:eastAsia="宋体"/>
        <w:lang w:val="en-US" w:eastAsia="zh-CN"/>
      </w:rPr>
    </w:pPr>
    <w:r>
      <w:rPr>
        <w:rFonts w:ascii="宋体" w:hAnsi="宋体" w:eastAsia="宋体" w:cs="宋体"/>
        <w:sz w:val="24"/>
        <w:szCs w:val="24"/>
      </w:rPr>
      <w:fldChar w:fldCharType="begin"/>
    </w:r>
    <w:r>
      <w:rPr>
        <w:rFonts w:ascii="宋体" w:hAnsi="宋体" w:eastAsia="宋体" w:cs="宋体"/>
        <w:sz w:val="24"/>
        <w:szCs w:val="24"/>
      </w:rPr>
      <w:instrText xml:space="preserve">INCLUDEPICTURE \d "D:\\QQ\\Tencent Files\\554354600\\nt_qq\\nt_data\\Pic\\2024-09\\Ori\\f78efc5913b515288639d0fd621a6757.png" \* MERGEFORMATINET </w:instrText>
    </w:r>
    <w:r>
      <w:rPr>
        <w:rFonts w:ascii="宋体" w:hAnsi="宋体" w:eastAsia="宋体" w:cs="宋体"/>
        <w:sz w:val="24"/>
        <w:szCs w:val="24"/>
      </w:rPr>
      <w:fldChar w:fldCharType="separate"/>
    </w:r>
    <w:r>
      <w:rPr>
        <w:rFonts w:ascii="宋体" w:hAnsi="宋体" w:eastAsia="宋体" w:cs="宋体"/>
        <w:sz w:val="24"/>
        <w:szCs w:val="24"/>
      </w:rPr>
      <w:drawing>
        <wp:inline distT="0" distB="0" distL="114300" distR="114300">
          <wp:extent cx="1087755" cy="193040"/>
          <wp:effectExtent l="0" t="0" r="17145" b="16510"/>
          <wp:docPr id="9" name="图片 2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2" descr="IMG_25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7755" cy="193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宋体" w:hAnsi="宋体" w:eastAsia="宋体" w:cs="宋体"/>
        <w:sz w:val="24"/>
        <w:szCs w:val="24"/>
      </w:rPr>
      <w:fldChar w:fldCharType="end"/>
    </w:r>
    <w:r>
      <w:t> </w:t>
    </w:r>
    <w:r>
      <w:rPr>
        <w:rFonts w:hint="eastAsia"/>
        <w:lang w:val="en-US" w:eastAsia="zh-CN"/>
      </w:rPr>
      <w:t xml:space="preserve">    </w:t>
    </w:r>
    <w:r>
      <w:t> www.jiecl.com  微信公众号：</w:t>
    </w:r>
    <w:r>
      <w:rPr>
        <w:rFonts w:hint="eastAsia"/>
        <w:lang w:eastAsia="zh-CN"/>
      </w:rPr>
      <w:t>杰科力AI教学</w:t>
    </w:r>
    <w:r>
      <w:t xml:space="preserve">   TEL:028-81711073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C4E742">
    <w:pPr>
      <w:pStyle w:val="1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173EEC"/>
    <w:multiLevelType w:val="multilevel"/>
    <w:tmpl w:val="1D173EEC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1D947DB3"/>
    <w:multiLevelType w:val="multilevel"/>
    <w:tmpl w:val="1D947DB3"/>
    <w:lvl w:ilvl="0" w:tentative="0">
      <w:start w:val="1"/>
      <w:numFmt w:val="bullet"/>
      <w:lvlText w:val="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hint="default" w:ascii="Wingdings" w:hAnsi="Wingdings"/>
      </w:rPr>
    </w:lvl>
  </w:abstractNum>
  <w:abstractNum w:abstractNumId="2">
    <w:nsid w:val="2FDB0E87"/>
    <w:multiLevelType w:val="multilevel"/>
    <w:tmpl w:val="2FDB0E87"/>
    <w:lvl w:ilvl="0" w:tentative="0">
      <w:start w:val="1"/>
      <w:numFmt w:val="bullet"/>
      <w:lvlText w:val=""/>
      <w:lvlJc w:val="left"/>
      <w:pPr>
        <w:tabs>
          <w:tab w:val="left" w:pos="900"/>
        </w:tabs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320"/>
        </w:tabs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hint="default" w:ascii="Wingdings" w:hAnsi="Wingdings"/>
      </w:rPr>
    </w:lvl>
  </w:abstractNum>
  <w:abstractNum w:abstractNumId="3">
    <w:nsid w:val="3A8D65FB"/>
    <w:multiLevelType w:val="multilevel"/>
    <w:tmpl w:val="3A8D65FB"/>
    <w:lvl w:ilvl="0" w:tentative="0">
      <w:start w:val="1"/>
      <w:numFmt w:val="bullet"/>
      <w:lvlText w:val=""/>
      <w:lvlJc w:val="left"/>
      <w:pPr>
        <w:tabs>
          <w:tab w:val="left" w:pos="1160"/>
        </w:tabs>
        <w:ind w:left="116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、"/>
      <w:lvlJc w:val="left"/>
      <w:pPr>
        <w:tabs>
          <w:tab w:val="left" w:pos="1520"/>
        </w:tabs>
        <w:ind w:left="1520" w:hanging="36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000"/>
        </w:tabs>
        <w:ind w:left="200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420"/>
        </w:tabs>
        <w:ind w:left="242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840"/>
        </w:tabs>
        <w:ind w:left="284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3260"/>
        </w:tabs>
        <w:ind w:left="326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680"/>
        </w:tabs>
        <w:ind w:left="368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4100"/>
        </w:tabs>
        <w:ind w:left="410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520"/>
        </w:tabs>
        <w:ind w:left="4520" w:hanging="420"/>
      </w:pPr>
      <w:rPr>
        <w:rFonts w:hint="default" w:ascii="Times New Roman" w:hAnsi="Times New Roman" w:cs="Times New Roman"/>
      </w:rPr>
    </w:lvl>
  </w:abstractNum>
  <w:abstractNum w:abstractNumId="4">
    <w:nsid w:val="424F01C9"/>
    <w:multiLevelType w:val="multilevel"/>
    <w:tmpl w:val="424F01C9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5">
    <w:nsid w:val="63BF4FA2"/>
    <w:multiLevelType w:val="multilevel"/>
    <w:tmpl w:val="63BF4FA2"/>
    <w:lvl w:ilvl="0" w:tentative="0">
      <w:start w:val="1"/>
      <w:numFmt w:val="bullet"/>
      <w:lvlText w:val="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YxMGJhNDRmYWI3YTAxNjQyMTZhOWFkOTIxMDI4NTMifQ=="/>
  </w:docVars>
  <w:rsids>
    <w:rsidRoot w:val="00837FB1"/>
    <w:rsid w:val="00086172"/>
    <w:rsid w:val="00091AB7"/>
    <w:rsid w:val="001205BE"/>
    <w:rsid w:val="00184AB0"/>
    <w:rsid w:val="002410F8"/>
    <w:rsid w:val="00241807"/>
    <w:rsid w:val="002535D8"/>
    <w:rsid w:val="002546EA"/>
    <w:rsid w:val="00272290"/>
    <w:rsid w:val="002B1B93"/>
    <w:rsid w:val="002B3A1A"/>
    <w:rsid w:val="002C5B99"/>
    <w:rsid w:val="002E6314"/>
    <w:rsid w:val="00364E07"/>
    <w:rsid w:val="003C4382"/>
    <w:rsid w:val="00425441"/>
    <w:rsid w:val="004335FC"/>
    <w:rsid w:val="00490416"/>
    <w:rsid w:val="00543B62"/>
    <w:rsid w:val="00602EF2"/>
    <w:rsid w:val="006327A0"/>
    <w:rsid w:val="006F33FA"/>
    <w:rsid w:val="007663F2"/>
    <w:rsid w:val="00797F36"/>
    <w:rsid w:val="007E06D5"/>
    <w:rsid w:val="007E2679"/>
    <w:rsid w:val="00837FB1"/>
    <w:rsid w:val="00854B13"/>
    <w:rsid w:val="00857850"/>
    <w:rsid w:val="008D11DB"/>
    <w:rsid w:val="008E0906"/>
    <w:rsid w:val="00922CE8"/>
    <w:rsid w:val="0095028D"/>
    <w:rsid w:val="00960E53"/>
    <w:rsid w:val="00A2224C"/>
    <w:rsid w:val="00A24CB5"/>
    <w:rsid w:val="00A50389"/>
    <w:rsid w:val="00A61699"/>
    <w:rsid w:val="00A642B9"/>
    <w:rsid w:val="00A83E7B"/>
    <w:rsid w:val="00A85681"/>
    <w:rsid w:val="00A86A84"/>
    <w:rsid w:val="00AA2DD5"/>
    <w:rsid w:val="00AA7439"/>
    <w:rsid w:val="00AF25EC"/>
    <w:rsid w:val="00B1165B"/>
    <w:rsid w:val="00B15A92"/>
    <w:rsid w:val="00B44EEB"/>
    <w:rsid w:val="00B95835"/>
    <w:rsid w:val="00BA621F"/>
    <w:rsid w:val="00BB5E98"/>
    <w:rsid w:val="00BE6D66"/>
    <w:rsid w:val="00BF5C8C"/>
    <w:rsid w:val="00C0482F"/>
    <w:rsid w:val="00CA6E2C"/>
    <w:rsid w:val="00D125B8"/>
    <w:rsid w:val="00D90006"/>
    <w:rsid w:val="00DA0732"/>
    <w:rsid w:val="00DC2D89"/>
    <w:rsid w:val="00E065D9"/>
    <w:rsid w:val="00E54F9C"/>
    <w:rsid w:val="00EB168F"/>
    <w:rsid w:val="00EF6B5B"/>
    <w:rsid w:val="00F01836"/>
    <w:rsid w:val="00F1028A"/>
    <w:rsid w:val="00F66969"/>
    <w:rsid w:val="00F75F93"/>
    <w:rsid w:val="00FE13D3"/>
    <w:rsid w:val="0700740B"/>
    <w:rsid w:val="0FB467A8"/>
    <w:rsid w:val="1B5B14DF"/>
    <w:rsid w:val="1BFE0DA5"/>
    <w:rsid w:val="24DA619D"/>
    <w:rsid w:val="37254DFA"/>
    <w:rsid w:val="5D7E1089"/>
    <w:rsid w:val="60CE726C"/>
    <w:rsid w:val="706702E6"/>
    <w:rsid w:val="70CF3CDB"/>
    <w:rsid w:val="732F2D09"/>
    <w:rsid w:val="7D7F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26"/>
    <w:qFormat/>
    <w:uiPriority w:val="99"/>
    <w:pPr>
      <w:keepNext/>
      <w:keepLines/>
      <w:spacing w:before="120" w:line="360" w:lineRule="auto"/>
      <w:outlineLvl w:val="0"/>
    </w:pPr>
    <w:rPr>
      <w:rFonts w:eastAsia="黑体"/>
      <w:b/>
      <w:bCs/>
      <w:kern w:val="44"/>
      <w:sz w:val="28"/>
      <w:szCs w:val="44"/>
    </w:rPr>
  </w:style>
  <w:style w:type="paragraph" w:styleId="5">
    <w:name w:val="heading 2"/>
    <w:basedOn w:val="1"/>
    <w:next w:val="1"/>
    <w:link w:val="27"/>
    <w:qFormat/>
    <w:uiPriority w:val="99"/>
    <w:pPr>
      <w:keepNext/>
      <w:keepLines/>
      <w:spacing w:line="360" w:lineRule="auto"/>
      <w:outlineLvl w:val="1"/>
    </w:pPr>
    <w:rPr>
      <w:rFonts w:ascii="Arial" w:hAnsi="Arial" w:cs="Arial"/>
      <w:b/>
      <w:bCs/>
      <w:sz w:val="28"/>
      <w:szCs w:val="32"/>
    </w:rPr>
  </w:style>
  <w:style w:type="paragraph" w:styleId="6">
    <w:name w:val="heading 3"/>
    <w:basedOn w:val="1"/>
    <w:next w:val="1"/>
    <w:link w:val="28"/>
    <w:qFormat/>
    <w:uiPriority w:val="99"/>
    <w:pPr>
      <w:keepNext/>
      <w:keepLines/>
      <w:spacing w:line="412" w:lineRule="auto"/>
      <w:outlineLvl w:val="2"/>
    </w:pPr>
    <w:rPr>
      <w:rFonts w:cs="Calibri"/>
      <w:b/>
      <w:bCs/>
      <w:sz w:val="32"/>
      <w:szCs w:val="32"/>
    </w:rPr>
  </w:style>
  <w:style w:type="paragraph" w:styleId="7">
    <w:name w:val="heading 4"/>
    <w:basedOn w:val="1"/>
    <w:next w:val="1"/>
    <w:link w:val="29"/>
    <w:qFormat/>
    <w:uiPriority w:val="99"/>
    <w:pPr>
      <w:keepNext/>
      <w:keepLines/>
      <w:spacing w:line="372" w:lineRule="auto"/>
      <w:outlineLvl w:val="3"/>
    </w:pPr>
    <w:rPr>
      <w:rFonts w:ascii="Cambria" w:hAnsi="Cambria" w:cs="宋体"/>
      <w:b/>
      <w:bCs/>
      <w:sz w:val="28"/>
      <w:szCs w:val="28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line="400" w:lineRule="exact"/>
      <w:ind w:firstLine="480" w:firstLineChars="200"/>
    </w:pPr>
  </w:style>
  <w:style w:type="paragraph" w:styleId="3">
    <w:name w:val="Body Text Indent"/>
    <w:basedOn w:val="1"/>
    <w:qFormat/>
    <w:uiPriority w:val="0"/>
    <w:pPr>
      <w:spacing w:line="520" w:lineRule="atLeast"/>
      <w:ind w:firstLine="564"/>
    </w:pPr>
    <w:rPr>
      <w:rFonts w:eastAsia="仿宋_GB2312"/>
      <w:kern w:val="0"/>
      <w:sz w:val="28"/>
      <w:szCs w:val="20"/>
    </w:rPr>
  </w:style>
  <w:style w:type="paragraph" w:styleId="8">
    <w:name w:val="toc 7"/>
    <w:basedOn w:val="1"/>
    <w:next w:val="1"/>
    <w:qFormat/>
    <w:uiPriority w:val="99"/>
    <w:pPr>
      <w:ind w:left="1260"/>
      <w:jc w:val="left"/>
    </w:pPr>
    <w:rPr>
      <w:rFonts w:cs="Calibri"/>
      <w:sz w:val="18"/>
      <w:szCs w:val="18"/>
    </w:rPr>
  </w:style>
  <w:style w:type="paragraph" w:styleId="9">
    <w:name w:val="Document Map"/>
    <w:basedOn w:val="1"/>
    <w:link w:val="35"/>
    <w:semiHidden/>
    <w:qFormat/>
    <w:uiPriority w:val="99"/>
    <w:pPr>
      <w:shd w:val="clear" w:color="auto" w:fill="000080"/>
    </w:pPr>
  </w:style>
  <w:style w:type="paragraph" w:styleId="10">
    <w:name w:val="toc 5"/>
    <w:basedOn w:val="1"/>
    <w:next w:val="1"/>
    <w:qFormat/>
    <w:uiPriority w:val="99"/>
    <w:pPr>
      <w:ind w:left="840"/>
      <w:jc w:val="left"/>
    </w:pPr>
    <w:rPr>
      <w:rFonts w:cs="Calibri"/>
      <w:sz w:val="18"/>
      <w:szCs w:val="18"/>
    </w:rPr>
  </w:style>
  <w:style w:type="paragraph" w:styleId="11">
    <w:name w:val="toc 3"/>
    <w:basedOn w:val="1"/>
    <w:next w:val="1"/>
    <w:qFormat/>
    <w:uiPriority w:val="99"/>
    <w:pPr>
      <w:ind w:left="420"/>
      <w:jc w:val="left"/>
    </w:pPr>
    <w:rPr>
      <w:rFonts w:cs="Calibri"/>
      <w:i/>
      <w:iCs/>
      <w:sz w:val="20"/>
      <w:szCs w:val="20"/>
    </w:rPr>
  </w:style>
  <w:style w:type="paragraph" w:styleId="12">
    <w:name w:val="Plain Text"/>
    <w:basedOn w:val="1"/>
    <w:link w:val="31"/>
    <w:qFormat/>
    <w:uiPriority w:val="99"/>
    <w:rPr>
      <w:rFonts w:ascii="宋体" w:hAnsi="Courier New" w:cs="宋体"/>
      <w:szCs w:val="21"/>
    </w:rPr>
  </w:style>
  <w:style w:type="paragraph" w:styleId="13">
    <w:name w:val="toc 8"/>
    <w:basedOn w:val="1"/>
    <w:next w:val="1"/>
    <w:qFormat/>
    <w:uiPriority w:val="99"/>
    <w:pPr>
      <w:ind w:left="1470"/>
      <w:jc w:val="left"/>
    </w:pPr>
    <w:rPr>
      <w:rFonts w:cs="Calibri"/>
      <w:sz w:val="18"/>
      <w:szCs w:val="18"/>
    </w:rPr>
  </w:style>
  <w:style w:type="paragraph" w:styleId="14">
    <w:name w:val="Balloon Text"/>
    <w:basedOn w:val="1"/>
    <w:link w:val="34"/>
    <w:semiHidden/>
    <w:qFormat/>
    <w:uiPriority w:val="99"/>
    <w:rPr>
      <w:sz w:val="18"/>
      <w:szCs w:val="18"/>
    </w:rPr>
  </w:style>
  <w:style w:type="paragraph" w:styleId="15">
    <w:name w:val="footer"/>
    <w:basedOn w:val="1"/>
    <w:link w:val="32"/>
    <w:qFormat/>
    <w:uiPriority w:val="99"/>
    <w:pPr>
      <w:snapToGrid w:val="0"/>
      <w:jc w:val="left"/>
    </w:pPr>
    <w:rPr>
      <w:rFonts w:cs="Calibri"/>
      <w:sz w:val="18"/>
      <w:szCs w:val="18"/>
    </w:rPr>
  </w:style>
  <w:style w:type="paragraph" w:styleId="16">
    <w:name w:val="header"/>
    <w:basedOn w:val="1"/>
    <w:link w:val="30"/>
    <w:qFormat/>
    <w:uiPriority w:val="99"/>
    <w:pPr>
      <w:pBdr>
        <w:bottom w:val="single" w:color="auto" w:sz="6" w:space="1"/>
      </w:pBdr>
      <w:snapToGrid w:val="0"/>
      <w:jc w:val="center"/>
    </w:pPr>
    <w:rPr>
      <w:rFonts w:cs="Calibri"/>
      <w:sz w:val="18"/>
      <w:szCs w:val="18"/>
    </w:rPr>
  </w:style>
  <w:style w:type="paragraph" w:styleId="17">
    <w:name w:val="toc 1"/>
    <w:basedOn w:val="1"/>
    <w:next w:val="1"/>
    <w:qFormat/>
    <w:uiPriority w:val="39"/>
    <w:pPr>
      <w:spacing w:before="120" w:after="120"/>
      <w:jc w:val="left"/>
    </w:pPr>
    <w:rPr>
      <w:rFonts w:cs="Calibri"/>
      <w:b/>
      <w:bCs/>
      <w:caps/>
      <w:sz w:val="20"/>
      <w:szCs w:val="20"/>
    </w:rPr>
  </w:style>
  <w:style w:type="paragraph" w:styleId="18">
    <w:name w:val="toc 4"/>
    <w:basedOn w:val="1"/>
    <w:next w:val="1"/>
    <w:qFormat/>
    <w:uiPriority w:val="99"/>
    <w:pPr>
      <w:ind w:left="630"/>
      <w:jc w:val="left"/>
    </w:pPr>
    <w:rPr>
      <w:rFonts w:cs="Calibri"/>
      <w:sz w:val="18"/>
      <w:szCs w:val="18"/>
    </w:rPr>
  </w:style>
  <w:style w:type="paragraph" w:styleId="19">
    <w:name w:val="toc 6"/>
    <w:basedOn w:val="1"/>
    <w:next w:val="1"/>
    <w:qFormat/>
    <w:uiPriority w:val="99"/>
    <w:pPr>
      <w:ind w:left="1050"/>
      <w:jc w:val="left"/>
    </w:pPr>
    <w:rPr>
      <w:rFonts w:cs="Calibri"/>
      <w:sz w:val="18"/>
      <w:szCs w:val="18"/>
    </w:rPr>
  </w:style>
  <w:style w:type="paragraph" w:styleId="20">
    <w:name w:val="toc 2"/>
    <w:basedOn w:val="1"/>
    <w:next w:val="1"/>
    <w:qFormat/>
    <w:uiPriority w:val="39"/>
    <w:pPr>
      <w:tabs>
        <w:tab w:val="right" w:leader="dot" w:pos="8296"/>
      </w:tabs>
      <w:ind w:left="210"/>
      <w:jc w:val="left"/>
    </w:pPr>
    <w:rPr>
      <w:rFonts w:cs="Calibri"/>
      <w:smallCaps/>
      <w:sz w:val="20"/>
      <w:szCs w:val="20"/>
    </w:rPr>
  </w:style>
  <w:style w:type="paragraph" w:styleId="21">
    <w:name w:val="toc 9"/>
    <w:basedOn w:val="1"/>
    <w:next w:val="1"/>
    <w:qFormat/>
    <w:uiPriority w:val="99"/>
    <w:pPr>
      <w:ind w:left="1680"/>
      <w:jc w:val="left"/>
    </w:pPr>
    <w:rPr>
      <w:rFonts w:cs="Calibri"/>
      <w:sz w:val="18"/>
      <w:szCs w:val="18"/>
    </w:rPr>
  </w:style>
  <w:style w:type="character" w:styleId="24">
    <w:name w:val="FollowedHyperlink"/>
    <w:qFormat/>
    <w:uiPriority w:val="99"/>
    <w:rPr>
      <w:rFonts w:cs="Times New Roman"/>
      <w:color w:val="800080"/>
      <w:u w:val="single"/>
    </w:rPr>
  </w:style>
  <w:style w:type="character" w:styleId="25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26">
    <w:name w:val="标题 1 字符"/>
    <w:link w:val="4"/>
    <w:qFormat/>
    <w:locked/>
    <w:uiPriority w:val="99"/>
    <w:rPr>
      <w:rFonts w:eastAsia="黑体" w:cs="Times New Roman"/>
      <w:b/>
      <w:bCs/>
      <w:kern w:val="44"/>
      <w:sz w:val="44"/>
      <w:szCs w:val="44"/>
    </w:rPr>
  </w:style>
  <w:style w:type="character" w:customStyle="1" w:styleId="27">
    <w:name w:val="标题 2 字符"/>
    <w:link w:val="5"/>
    <w:qFormat/>
    <w:locked/>
    <w:uiPriority w:val="99"/>
    <w:rPr>
      <w:rFonts w:ascii="Arial" w:hAnsi="Arial" w:eastAsia="宋体" w:cs="Arial"/>
      <w:b/>
      <w:bCs/>
      <w:sz w:val="32"/>
      <w:szCs w:val="32"/>
    </w:rPr>
  </w:style>
  <w:style w:type="character" w:customStyle="1" w:styleId="28">
    <w:name w:val="标题 3 字符"/>
    <w:link w:val="6"/>
    <w:qFormat/>
    <w:locked/>
    <w:uiPriority w:val="99"/>
    <w:rPr>
      <w:rFonts w:ascii="Calibri" w:hAnsi="Calibri" w:eastAsia="宋体" w:cs="Calibri"/>
      <w:b/>
      <w:bCs/>
      <w:sz w:val="32"/>
      <w:szCs w:val="32"/>
    </w:rPr>
  </w:style>
  <w:style w:type="character" w:customStyle="1" w:styleId="29">
    <w:name w:val="标题 4 字符"/>
    <w:link w:val="7"/>
    <w:qFormat/>
    <w:locked/>
    <w:uiPriority w:val="99"/>
    <w:rPr>
      <w:rFonts w:ascii="Cambria" w:hAnsi="Cambria" w:eastAsia="宋体" w:cs="宋体"/>
      <w:b/>
      <w:bCs/>
      <w:sz w:val="28"/>
      <w:szCs w:val="28"/>
    </w:rPr>
  </w:style>
  <w:style w:type="character" w:customStyle="1" w:styleId="30">
    <w:name w:val="页眉 字符"/>
    <w:link w:val="16"/>
    <w:qFormat/>
    <w:locked/>
    <w:uiPriority w:val="99"/>
    <w:rPr>
      <w:rFonts w:ascii="Calibri" w:hAnsi="Calibri" w:eastAsia="宋体" w:cs="Calibri"/>
      <w:sz w:val="18"/>
      <w:szCs w:val="18"/>
    </w:rPr>
  </w:style>
  <w:style w:type="character" w:customStyle="1" w:styleId="31">
    <w:name w:val="纯文本 字符"/>
    <w:link w:val="12"/>
    <w:qFormat/>
    <w:locked/>
    <w:uiPriority w:val="99"/>
    <w:rPr>
      <w:rFonts w:ascii="宋体" w:hAnsi="Courier New" w:eastAsia="宋体" w:cs="宋体"/>
      <w:sz w:val="21"/>
      <w:szCs w:val="21"/>
    </w:rPr>
  </w:style>
  <w:style w:type="character" w:customStyle="1" w:styleId="32">
    <w:name w:val="页脚 字符"/>
    <w:link w:val="15"/>
    <w:qFormat/>
    <w:locked/>
    <w:uiPriority w:val="99"/>
    <w:rPr>
      <w:rFonts w:ascii="Calibri" w:hAnsi="Calibri" w:eastAsia="宋体" w:cs="Calibri"/>
      <w:sz w:val="18"/>
      <w:szCs w:val="18"/>
    </w:rPr>
  </w:style>
  <w:style w:type="character" w:customStyle="1" w:styleId="33">
    <w:name w:val="15"/>
    <w:qFormat/>
    <w:uiPriority w:val="99"/>
    <w:rPr>
      <w:rFonts w:ascii="Calibri" w:hAnsi="Calibri" w:cs="Calibri"/>
      <w:color w:val="0000FF"/>
      <w:u w:val="single"/>
    </w:rPr>
  </w:style>
  <w:style w:type="character" w:customStyle="1" w:styleId="34">
    <w:name w:val="批注框文本 字符"/>
    <w:link w:val="14"/>
    <w:semiHidden/>
    <w:qFormat/>
    <w:locked/>
    <w:uiPriority w:val="99"/>
    <w:rPr>
      <w:rFonts w:cs="Times New Roman"/>
      <w:sz w:val="18"/>
      <w:szCs w:val="18"/>
    </w:rPr>
  </w:style>
  <w:style w:type="character" w:customStyle="1" w:styleId="35">
    <w:name w:val="文档结构图 字符"/>
    <w:link w:val="9"/>
    <w:semiHidden/>
    <w:qFormat/>
    <w:uiPriority w:val="99"/>
    <w:rPr>
      <w:rFonts w:ascii="Times New Roman" w:hAnsi="Times New Roman"/>
      <w:sz w:val="0"/>
      <w:szCs w:val="0"/>
    </w:rPr>
  </w:style>
  <w:style w:type="character" w:customStyle="1" w:styleId="36">
    <w:name w:val="Unresolved Mention"/>
    <w:basedOn w:val="2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E7C875-297E-4A43-9D5A-A95213D37C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5740</Words>
  <Characters>5858</Characters>
  <Lines>72</Lines>
  <Paragraphs>20</Paragraphs>
  <TotalTime>1</TotalTime>
  <ScaleCrop>false</ScaleCrop>
  <LinksUpToDate>false</LinksUpToDate>
  <CharactersWithSpaces>5928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2019-10-16T13:18:00Z</dcterms:created>
  <dc:creator>Administrator</dc:creator>
  <cp:lastModifiedBy>王先帅</cp:lastModifiedBy>
  <dcterms:modified xsi:type="dcterms:W3CDTF">2025-05-27T10:15:45Z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4B30770C18724A158A03C6E394AF07B1</vt:lpwstr>
  </property>
  <property fmtid="{D5CDD505-2E9C-101B-9397-08002B2CF9AE}" pid="4" name="KSOTemplateDocerSaveRecord">
    <vt:lpwstr>eyJoZGlkIjoiNzEwODg2ZjliZGNmOWRiNTM3YTQ5MDE4NzI5Y2VmM2IiLCJ1c2VySWQiOiI0MDM0NDIxMzIifQ==</vt:lpwstr>
  </property>
</Properties>
</file>