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11F4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成都杰科力公共管理决策仿真系统与南京奥派公司产品对比表</w:t>
      </w:r>
    </w:p>
    <w:tbl>
      <w:tblPr>
        <w:tblStyle w:val="7"/>
        <w:tblW w:w="13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5345"/>
        <w:gridCol w:w="8015"/>
      </w:tblGrid>
      <w:tr w14:paraId="24960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38" w:type="dxa"/>
            <w:vAlign w:val="center"/>
          </w:tcPr>
          <w:p w14:paraId="4A28C17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比较点</w:t>
            </w:r>
          </w:p>
        </w:tc>
        <w:tc>
          <w:tcPr>
            <w:tcW w:w="5536" w:type="dxa"/>
            <w:vAlign w:val="center"/>
          </w:tcPr>
          <w:p w14:paraId="4E3C7BE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南京奥派公司产品</w:t>
            </w:r>
          </w:p>
        </w:tc>
        <w:tc>
          <w:tcPr>
            <w:tcW w:w="7574" w:type="dxa"/>
            <w:vAlign w:val="center"/>
          </w:tcPr>
          <w:p w14:paraId="76743E9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杰科力公司产品</w:t>
            </w:r>
          </w:p>
        </w:tc>
      </w:tr>
      <w:tr w14:paraId="2CDAB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</w:trPr>
        <w:tc>
          <w:tcPr>
            <w:tcW w:w="838" w:type="dxa"/>
            <w:tcBorders>
              <w:bottom w:val="single" w:color="auto" w:sz="4" w:space="0"/>
            </w:tcBorders>
            <w:textDirection w:val="tbRlV"/>
            <w:vAlign w:val="center"/>
          </w:tcPr>
          <w:p w14:paraId="0F88F8F3"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产品设计</w:t>
            </w:r>
          </w:p>
        </w:tc>
        <w:tc>
          <w:tcPr>
            <w:tcW w:w="5536" w:type="dxa"/>
          </w:tcPr>
          <w:p w14:paraId="38555E52">
            <w:pPr>
              <w:numPr>
                <w:ilvl w:val="0"/>
                <w:numId w:val="1"/>
              </w:numPr>
            </w:pPr>
            <w:r>
              <w:rPr>
                <w:rFonts w:ascii="Segoe UI" w:hAnsi="Segoe UI" w:cs="Segoe UI"/>
                <w:color w:val="222222"/>
                <w:shd w:val="clear" w:color="auto" w:fill="FFFFFF"/>
              </w:rPr>
              <w:t>奥派</w:t>
            </w:r>
            <w:r>
              <w:rPr>
                <w:rFonts w:hint="eastAsia" w:ascii="Segoe UI" w:hAnsi="Segoe UI" w:cs="Segoe UI"/>
                <w:color w:val="222222"/>
                <w:shd w:val="clear" w:color="auto" w:fill="FFFFFF"/>
              </w:rPr>
              <w:t>的</w:t>
            </w:r>
            <w:r>
              <w:rPr>
                <w:rFonts w:ascii="Segoe UI" w:hAnsi="Segoe UI" w:cs="Segoe UI"/>
                <w:color w:val="222222"/>
                <w:shd w:val="clear" w:color="auto" w:fill="FFFFFF"/>
              </w:rPr>
              <w:t>公共危机应急决策仿真软件，是基于传统的应急演练要耗费大量的人、财、物，不能满足随时、随地演练的需求，而设计的一款决策仿真类软件。该系统模拟了公共危机发生、预警接警、信息上报、应急响应、人员配置、资源调度、善后处理等应急全过程，将公共危机应急场景以决策仿真形式直观地展现，支持智能化的决策输入系统。</w:t>
            </w:r>
            <w:r>
              <w:rPr>
                <w:rFonts w:hint="eastAsia" w:ascii="Segoe UI" w:hAnsi="Segoe UI" w:cs="Segoe UI"/>
                <w:color w:val="222222"/>
                <w:shd w:val="clear" w:color="auto" w:fill="FFFFFF"/>
              </w:rPr>
              <w:t>角色定位：接警员、现场指挥员、财政管理员、政府领导。</w:t>
            </w:r>
          </w:p>
          <w:p w14:paraId="779E7A20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涉及的知识点很少，应用性不强。与危机管理课程知识点结合不够紧密。</w:t>
            </w:r>
          </w:p>
          <w:p w14:paraId="03E78D4E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产品设计比较单一，涉及的实验的类型很少，无法深入到某门课程核心知识领域。</w:t>
            </w:r>
          </w:p>
          <w:p w14:paraId="7052661B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适用的专业仅为城市管理专业，实用性不强。</w:t>
            </w:r>
          </w:p>
        </w:tc>
        <w:tc>
          <w:tcPr>
            <w:tcW w:w="7574" w:type="dxa"/>
            <w:tcBorders>
              <w:bottom w:val="single" w:color="auto" w:sz="4" w:space="0"/>
            </w:tcBorders>
          </w:tcPr>
          <w:p w14:paraId="5CE5DA75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杰科力将全班份为8个小组，由各组学生调查一个现实中县级或区级区域产业、人口等情况，扮演招商局、发改局、土地局、财政局、人保局与公共事业局的一员，面对统一的外部经济环境和国家政策法律环境，通过招商引资、发展工业和商业服务业、投资公共事业，提升就业率、增强当地居民幸福感。</w:t>
            </w:r>
          </w:p>
          <w:p w14:paraId="78C59DEC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杰科力致力于打造一套最贴近教学需要，能够真实全面系统化的经管专业化教学系统。</w:t>
            </w:r>
          </w:p>
          <w:p w14:paraId="55F33C3E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杰科力公司系院校企业，公司所有员工全部来源于一线优秀教学老师，全部具有硕士博士学历，具有10年以上丰富实践教学经验。</w:t>
            </w:r>
          </w:p>
          <w:p w14:paraId="59317F5B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所有课程设计来源于一线教学积累，并经多年实践教学评估与检验。</w:t>
            </w:r>
          </w:p>
          <w:p w14:paraId="7A4E2442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适用于公共/行政管理专业，涉及到《公共管理学》、《公共经济学》、《公共</w:t>
            </w:r>
            <w:r>
              <w:t>政策分析与决策</w:t>
            </w:r>
            <w:r>
              <w:rPr>
                <w:rFonts w:hint="eastAsia"/>
              </w:rPr>
              <w:t>》、《财政学》等理论课程。</w:t>
            </w:r>
          </w:p>
        </w:tc>
      </w:tr>
      <w:tr w14:paraId="2056A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5" w:hRule="atLeast"/>
        </w:trPr>
        <w:tc>
          <w:tcPr>
            <w:tcW w:w="838" w:type="dxa"/>
            <w:textDirection w:val="tbRlV"/>
            <w:vAlign w:val="center"/>
          </w:tcPr>
          <w:p w14:paraId="0EE31DA3"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系统功能特点</w:t>
            </w:r>
          </w:p>
        </w:tc>
        <w:tc>
          <w:tcPr>
            <w:tcW w:w="5536" w:type="dxa"/>
            <w:shd w:val="clear" w:color="auto" w:fill="auto"/>
          </w:tcPr>
          <w:p w14:paraId="6D251D26">
            <w:pPr>
              <w:pStyle w:val="9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由于产品设计单一，一些核心专业课程无法使用具体功能，侧重于操作与流程，对决策分析和数据分析不够，与专业课程知识点结合不够紧密。</w:t>
            </w:r>
          </w:p>
          <w:p w14:paraId="7906A5E5">
            <w:pPr>
              <w:jc w:val="center"/>
            </w:pPr>
            <w:r>
              <w:drawing>
                <wp:inline distT="0" distB="0" distL="0" distR="0">
                  <wp:extent cx="3399155" cy="282892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712" t="8606" r="55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4948" cy="285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E3F887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 xml:space="preserve">缺少具体教学辅助材料，例如教学大纲、案例配套、知识点分享PPT、教学指导书缺乏，仅有一些操作手册、功能介绍，需要老师二次备课。 </w:t>
            </w:r>
          </w:p>
          <w:p w14:paraId="53751429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产品只涉及公共危机应急管理实验，对公共管理专业学生来说实用性不强。</w:t>
            </w:r>
          </w:p>
        </w:tc>
        <w:tc>
          <w:tcPr>
            <w:tcW w:w="7574" w:type="dxa"/>
          </w:tcPr>
          <w:p w14:paraId="718C987F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任职10年经验以上的公共管理专业团队设计，针对课程和专业进行设计，内容深入到应用型教学核心知识点。</w:t>
            </w:r>
          </w:p>
          <w:p w14:paraId="10E2C8C6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产品涉及六大实验：公共管理环境认知与四大职能实验；公共政策设计、执行和评估实验；公共财政管理实验；政府绩效管理实验；企业型政府与公共管理变革创新实验；危机管理与政府决策实验</w:t>
            </w:r>
          </w:p>
          <w:p w14:paraId="5D86DB66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教学辅导材料丰富。所有产品设计均来自于一线实践教师，教学大纲、案例配套、知识点分享PPT、教学指导书、教师手册、学员手册全部配套。</w:t>
            </w:r>
          </w:p>
          <w:p w14:paraId="4957F6B8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具有定制开发能力，能根据专业老师上课特点定制开发实验产品。</w:t>
            </w:r>
          </w:p>
          <w:p w14:paraId="5F168DEB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软件界面不够炫丽。</w:t>
            </w:r>
          </w:p>
          <w:p w14:paraId="065E93DB">
            <w:r>
              <w:drawing>
                <wp:inline distT="0" distB="0" distL="114300" distR="114300">
                  <wp:extent cx="5161280" cy="2954020"/>
                  <wp:effectExtent l="0" t="0" r="7620" b="50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1280" cy="2954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FA4D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838" w:type="dxa"/>
            <w:textDirection w:val="tbRlV"/>
            <w:vAlign w:val="center"/>
          </w:tcPr>
          <w:p w14:paraId="21AF0AC9"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产品特色</w:t>
            </w:r>
          </w:p>
        </w:tc>
        <w:tc>
          <w:tcPr>
            <w:tcW w:w="5536" w:type="dxa"/>
          </w:tcPr>
          <w:p w14:paraId="13A64A90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以流程类操作软件为主。</w:t>
            </w:r>
          </w:p>
          <w:p w14:paraId="3F9CF38F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系统功能操作较为复杂，危机类型</w:t>
            </w:r>
            <w:bookmarkStart w:id="0" w:name="_GoBack"/>
            <w:r>
              <w:rPr>
                <w:rFonts w:hint="eastAsia"/>
              </w:rPr>
              <w:t>因为</w:t>
            </w:r>
            <w:bookmarkEnd w:id="0"/>
            <w:r>
              <w:rPr>
                <w:rFonts w:hint="eastAsia"/>
              </w:rPr>
              <w:t>不同时期而有所差别。</w:t>
            </w:r>
          </w:p>
          <w:p w14:paraId="24FB44E9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支持直观的电子盘面，智能的模拟系统和高度仿真的危机场景</w:t>
            </w:r>
          </w:p>
        </w:tc>
        <w:tc>
          <w:tcPr>
            <w:tcW w:w="7574" w:type="dxa"/>
          </w:tcPr>
          <w:p w14:paraId="48D1B1EB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以模拟体验为主，综合有理论的分享式教学方案</w:t>
            </w:r>
          </w:p>
          <w:p w14:paraId="340BF792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情景化的实战训练；</w:t>
            </w:r>
          </w:p>
          <w:p w14:paraId="1F0EE4A3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互动体验式的教学组织；</w:t>
            </w:r>
          </w:p>
          <w:p w14:paraId="58399824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细致全面的教学服务；</w:t>
            </w:r>
          </w:p>
          <w:p w14:paraId="762FEDDF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创新性的案例教学系统</w:t>
            </w:r>
          </w:p>
          <w:p w14:paraId="51BDCBC6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配备物理决策仿真盘面和实物教具</w:t>
            </w:r>
          </w:p>
        </w:tc>
      </w:tr>
      <w:tr w14:paraId="75AFB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838" w:type="dxa"/>
            <w:textDirection w:val="tbRlV"/>
            <w:vAlign w:val="center"/>
          </w:tcPr>
          <w:p w14:paraId="49806B0D">
            <w:pPr>
              <w:ind w:left="113" w:right="113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客户对象</w:t>
            </w:r>
          </w:p>
        </w:tc>
        <w:tc>
          <w:tcPr>
            <w:tcW w:w="5536" w:type="dxa"/>
          </w:tcPr>
          <w:p w14:paraId="47ABD76C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侧重于本科</w:t>
            </w:r>
          </w:p>
        </w:tc>
        <w:tc>
          <w:tcPr>
            <w:tcW w:w="7574" w:type="dxa"/>
          </w:tcPr>
          <w:p w14:paraId="4F845CD9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侧重于本科</w:t>
            </w:r>
          </w:p>
        </w:tc>
      </w:tr>
      <w:tr w14:paraId="50826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838" w:type="dxa"/>
            <w:textDirection w:val="tbRlV"/>
            <w:vAlign w:val="center"/>
          </w:tcPr>
          <w:p w14:paraId="4F6FAE06">
            <w:pPr>
              <w:ind w:left="113" w:right="113"/>
              <w:jc w:val="center"/>
            </w:pPr>
            <w:r>
              <w:rPr>
                <w:rFonts w:hint="eastAsia"/>
                <w:b/>
                <w:sz w:val="24"/>
              </w:rPr>
              <w:t>售后服务</w:t>
            </w:r>
          </w:p>
        </w:tc>
        <w:tc>
          <w:tcPr>
            <w:tcW w:w="5536" w:type="dxa"/>
          </w:tcPr>
          <w:p w14:paraId="07C685FF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被动式服务，有问题电话或远程响应。</w:t>
            </w:r>
          </w:p>
          <w:p w14:paraId="4D54EA1E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一般培训一次。平时有问题远程咨询。</w:t>
            </w:r>
          </w:p>
        </w:tc>
        <w:tc>
          <w:tcPr>
            <w:tcW w:w="7574" w:type="dxa"/>
          </w:tcPr>
          <w:p w14:paraId="46965967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主动式服务，每个学期电话回访与现场回访：现场培训直到老师学会为止。</w:t>
            </w:r>
          </w:p>
          <w:p w14:paraId="3B780896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另提供跟班教学服务。</w:t>
            </w:r>
          </w:p>
          <w:p w14:paraId="447C594C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3年免费升级，终身维护；</w:t>
            </w:r>
          </w:p>
          <w:p w14:paraId="2E73E492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电话/网络/上门服务三者相结合</w:t>
            </w:r>
          </w:p>
        </w:tc>
      </w:tr>
    </w:tbl>
    <w:p w14:paraId="1EAE6033"/>
    <w:p w14:paraId="58B7AACF"/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3F35D">
    <w:pPr>
      <w:pStyle w:val="6"/>
    </w:pPr>
    <w:r>
      <w:rPr>
        <w:rFonts w:ascii="宋体" w:hAnsi="宋体" w:eastAsia="宋体" w:cs="宋体"/>
        <w:sz w:val="24"/>
        <w:szCs w:val="24"/>
      </w:rPr>
      <w:fldChar w:fldCharType="begin"/>
    </w:r>
    <w:r>
      <w:rPr>
        <w:rFonts w:ascii="宋体" w:hAnsi="宋体" w:eastAsia="宋体" w:cs="宋体"/>
        <w:sz w:val="24"/>
        <w:szCs w:val="24"/>
      </w:rPr>
      <w:instrText xml:space="preserve">INCLUDEPICTURE \d "D:\\QQ\\Tencent Files\\554354600\\nt_qq\\nt_data\\Pic\\2024-09\\Ori\\f78efc5913b515288639d0fd621a6757.png" \* MERGEFORMATINET </w:instrText>
    </w:r>
    <w:r>
      <w:rPr>
        <w:rFonts w:ascii="宋体" w:hAnsi="宋体" w:eastAsia="宋体" w:cs="宋体"/>
        <w:sz w:val="24"/>
        <w:szCs w:val="24"/>
      </w:rPr>
      <w:fldChar w:fldCharType="separate"/>
    </w:r>
    <w:r>
      <w:rPr>
        <w:rFonts w:ascii="宋体" w:hAnsi="宋体" w:eastAsia="宋体" w:cs="宋体"/>
        <w:sz w:val="24"/>
        <w:szCs w:val="24"/>
      </w:rPr>
      <w:drawing>
        <wp:inline distT="0" distB="0" distL="114300" distR="114300">
          <wp:extent cx="1087755" cy="193040"/>
          <wp:effectExtent l="0" t="0" r="17145" b="16510"/>
          <wp:docPr id="3" name="图片 1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IMG_25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7755" cy="193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宋体" w:hAnsi="宋体" w:eastAsia="宋体" w:cs="宋体"/>
        <w:sz w:val="24"/>
        <w:szCs w:val="24"/>
      </w:rPr>
      <w:fldChar w:fldCharType="end"/>
    </w:r>
    <w:r>
      <w:t> </w:t>
    </w:r>
    <w:r>
      <w:rPr>
        <w:rFonts w:hint="eastAsia"/>
        <w:lang w:val="en-US" w:eastAsia="zh-CN"/>
      </w:rPr>
      <w:t xml:space="preserve">    </w:t>
    </w:r>
    <w:r>
      <w:t> www.jiecl.com  微信公众号：</w:t>
    </w:r>
    <w:r>
      <w:rPr>
        <w:rFonts w:hint="eastAsia"/>
        <w:lang w:eastAsia="zh-CN"/>
      </w:rPr>
      <w:t>杰科力AI教学</w:t>
    </w:r>
    <w:r>
      <w:t xml:space="preserve">   TEL:028-81711073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5D19CC"/>
    <w:multiLevelType w:val="multilevel"/>
    <w:tmpl w:val="045D19CC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199D6070"/>
    <w:multiLevelType w:val="multilevel"/>
    <w:tmpl w:val="199D607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xMGJhNDRmYWI3YTAxNjQyMTZhOWFkOTIxMDI4NTMifQ=="/>
  </w:docVars>
  <w:rsids>
    <w:rsidRoot w:val="006E32F6"/>
    <w:rsid w:val="000072B8"/>
    <w:rsid w:val="000F0B98"/>
    <w:rsid w:val="00165E5E"/>
    <w:rsid w:val="001D6437"/>
    <w:rsid w:val="001E67CD"/>
    <w:rsid w:val="00232323"/>
    <w:rsid w:val="00256C88"/>
    <w:rsid w:val="002D20C1"/>
    <w:rsid w:val="002D6D92"/>
    <w:rsid w:val="00357FB8"/>
    <w:rsid w:val="00363A23"/>
    <w:rsid w:val="004466DB"/>
    <w:rsid w:val="004B4813"/>
    <w:rsid w:val="004F7E99"/>
    <w:rsid w:val="00575309"/>
    <w:rsid w:val="006E32F6"/>
    <w:rsid w:val="0079123F"/>
    <w:rsid w:val="00841D2C"/>
    <w:rsid w:val="00867623"/>
    <w:rsid w:val="00880CA9"/>
    <w:rsid w:val="009A7F66"/>
    <w:rsid w:val="00A927C3"/>
    <w:rsid w:val="00AD747E"/>
    <w:rsid w:val="00B55188"/>
    <w:rsid w:val="00BE6FAF"/>
    <w:rsid w:val="00BE7A25"/>
    <w:rsid w:val="00CF6616"/>
    <w:rsid w:val="00D002DA"/>
    <w:rsid w:val="00D35156"/>
    <w:rsid w:val="00D57D8C"/>
    <w:rsid w:val="00D72425"/>
    <w:rsid w:val="00D72D1C"/>
    <w:rsid w:val="00E353B4"/>
    <w:rsid w:val="0E6A42C5"/>
    <w:rsid w:val="10211D39"/>
    <w:rsid w:val="127A550F"/>
    <w:rsid w:val="3F5A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line="400" w:lineRule="exact"/>
      <w:ind w:firstLine="480" w:firstLineChars="200"/>
    </w:pPr>
  </w:style>
  <w:style w:type="paragraph" w:styleId="3">
    <w:name w:val="Body Text Indent"/>
    <w:basedOn w:val="1"/>
    <w:qFormat/>
    <w:uiPriority w:val="0"/>
    <w:pPr>
      <w:spacing w:line="520" w:lineRule="atLeast"/>
      <w:ind w:firstLine="564"/>
    </w:pPr>
    <w:rPr>
      <w:rFonts w:eastAsia="仿宋_GB2312"/>
      <w:kern w:val="0"/>
      <w:sz w:val="28"/>
      <w:szCs w:val="20"/>
    </w:rPr>
  </w:style>
  <w:style w:type="paragraph" w:styleId="4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字符"/>
    <w:basedOn w:val="8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1295</Words>
  <Characters>1301</Characters>
  <Lines>9</Lines>
  <Paragraphs>2</Paragraphs>
  <TotalTime>2</TotalTime>
  <ScaleCrop>false</ScaleCrop>
  <LinksUpToDate>false</LinksUpToDate>
  <CharactersWithSpaces>1302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2018-08-13T12:32:00Z</dcterms:created>
  <dc:creator>Administrator</dc:creator>
  <cp:lastModifiedBy>王先帅</cp:lastModifiedBy>
  <dcterms:modified xsi:type="dcterms:W3CDTF">2025-05-27T10:14:21Z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5D29484097A24290AB5B0BB4C8929138</vt:lpwstr>
  </property>
  <property fmtid="{D5CDD505-2E9C-101B-9397-08002B2CF9AE}" pid="4" name="KSOTemplateDocerSaveRecord">
    <vt:lpwstr>eyJoZGlkIjoiNzEwODg2ZjliZGNmOWRiNTM3YTQ5MDE4NzI5Y2VmM2IiLCJ1c2VySWQiOiI0MDM0NDIxMzIifQ==</vt:lpwstr>
  </property>
</Properties>
</file>